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FD46" w14:textId="77777777" w:rsidR="007E1993" w:rsidRDefault="007E1993" w:rsidP="007E1993">
      <w:pPr>
        <w:spacing w:line="640" w:lineRule="exact"/>
        <w:ind w:firstLine="720"/>
      </w:pPr>
      <w:r>
        <w:t xml:space="preserve">(3) </w:t>
      </w:r>
      <w:r>
        <w:rPr>
          <w:b/>
        </w:rPr>
        <w:t>Quality control analysis and screening.</w:t>
      </w:r>
      <w:r>
        <w:t xml:space="preserve"> The following analysis and screening are only required for samples that have not been previously tested, or that have failed quality control testing.</w:t>
      </w:r>
    </w:p>
    <w:p w14:paraId="17C85A59" w14:textId="2D5CC8E3" w:rsidR="007E1993" w:rsidRPr="00DB666C" w:rsidRDefault="007E1993" w:rsidP="007E1993">
      <w:pPr>
        <w:spacing w:line="640" w:lineRule="exact"/>
        <w:ind w:firstLine="720"/>
      </w:pPr>
      <w:r w:rsidRPr="00DB666C">
        <w:t xml:space="preserve">(a) </w:t>
      </w:r>
      <w:r w:rsidRPr="00A74629">
        <w:rPr>
          <w:b/>
        </w:rPr>
        <w:t xml:space="preserve">Cannabinoid </w:t>
      </w:r>
      <w:r w:rsidRPr="00CC1247">
        <w:rPr>
          <w:b/>
        </w:rPr>
        <w:t xml:space="preserve">concentration </w:t>
      </w:r>
      <w:r w:rsidRPr="00FA1FDB">
        <w:rPr>
          <w:b/>
        </w:rPr>
        <w:t>analysis</w:t>
      </w:r>
      <w:r w:rsidR="00507BBA">
        <w:rPr>
          <w:b/>
        </w:rPr>
        <w:t xml:space="preserve"> and reporting</w:t>
      </w:r>
      <w:r w:rsidRPr="00DB666C">
        <w:rPr>
          <w:b/>
        </w:rPr>
        <w:t xml:space="preserve">. </w:t>
      </w:r>
    </w:p>
    <w:p w14:paraId="7C3EBBBB" w14:textId="7CAE336D" w:rsidR="007E1993" w:rsidRPr="00DB666C" w:rsidRDefault="007E1993" w:rsidP="007E1993">
      <w:pPr>
        <w:spacing w:line="640" w:lineRule="exact"/>
        <w:ind w:firstLine="720"/>
      </w:pPr>
      <w:r w:rsidRPr="00DB666C">
        <w:t xml:space="preserve">(i) Certified labs must </w:t>
      </w:r>
      <w:r w:rsidR="00507BBA">
        <w:t xml:space="preserve">analyze for </w:t>
      </w:r>
      <w:r w:rsidRPr="00A40FEA">
        <w:t xml:space="preserve">the </w:t>
      </w:r>
      <w:r w:rsidRPr="00DB666C">
        <w:t>following cannabinoids when testing for cannabinoid concentration</w:t>
      </w:r>
      <w:r w:rsidRPr="00A40FEA">
        <w:t xml:space="preserve">. Labs must </w:t>
      </w:r>
      <w:r w:rsidR="00507BBA">
        <w:t xml:space="preserve">report concentrations for the following cannabinoids and </w:t>
      </w:r>
      <w:r w:rsidRPr="00A40FEA">
        <w:t xml:space="preserve">any additional cannabinoid compounds tested </w:t>
      </w:r>
      <w:r w:rsidR="00507BBA">
        <w:t xml:space="preserve">to </w:t>
      </w:r>
      <w:r w:rsidRPr="00A40FEA">
        <w:t xml:space="preserve">the board </w:t>
      </w:r>
      <w:r w:rsidR="00507BBA">
        <w:t xml:space="preserve">via </w:t>
      </w:r>
      <w:r w:rsidRPr="00A40FEA">
        <w:t xml:space="preserve">the </w:t>
      </w:r>
      <w:r w:rsidR="00507BBA">
        <w:t>board’s</w:t>
      </w:r>
      <w:r w:rsidRPr="00A40FEA">
        <w:t xml:space="preserve"> traceability system</w:t>
      </w:r>
      <w:r w:rsidRPr="00DB666C">
        <w:t>:</w:t>
      </w:r>
    </w:p>
    <w:p w14:paraId="0DB4E601" w14:textId="77777777" w:rsidR="007E1993" w:rsidRPr="00DB666C" w:rsidRDefault="007E1993" w:rsidP="007E1993">
      <w:pPr>
        <w:spacing w:line="640" w:lineRule="exact"/>
        <w:ind w:firstLine="720"/>
      </w:pPr>
      <w:r w:rsidRPr="00DB666C">
        <w:t>(A)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500"/>
      </w:tblGrid>
      <w:tr w:rsidR="007E1993" w:rsidRPr="00DB666C" w14:paraId="72E6CC1C" w14:textId="77777777" w:rsidTr="00CC1247">
        <w:trPr>
          <w:cantSplit/>
          <w:tblHeader/>
          <w:jc w:val="center"/>
        </w:trPr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14:paraId="6FE86B95" w14:textId="77777777" w:rsidR="007E1993" w:rsidRPr="005217BB" w:rsidRDefault="007E1993" w:rsidP="00CC1247">
            <w:pPr>
              <w:spacing w:line="0" w:lineRule="atLeast"/>
              <w:jc w:val="center"/>
              <w:rPr>
                <w:b/>
              </w:rPr>
            </w:pPr>
            <w:r w:rsidRPr="00DB666C">
              <w:rPr>
                <w:rFonts w:ascii="Times New Roman" w:hAnsi="Times New Roman"/>
                <w:b/>
                <w:sz w:val="20"/>
              </w:rPr>
              <w:t>Cannabinoid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14:paraId="42742E50" w14:textId="77777777" w:rsidR="007E1993" w:rsidRPr="005217BB" w:rsidRDefault="007E1993" w:rsidP="00CC1247">
            <w:pPr>
              <w:spacing w:line="0" w:lineRule="atLeast"/>
              <w:jc w:val="center"/>
              <w:rPr>
                <w:b/>
              </w:rPr>
            </w:pPr>
            <w:r w:rsidRPr="00DB666C">
              <w:rPr>
                <w:rFonts w:ascii="Times New Roman" w:hAnsi="Times New Roman"/>
                <w:b/>
                <w:sz w:val="20"/>
              </w:rPr>
              <w:t>Lower Limit of Quantitation (mg/g)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14:paraId="7E217E36" w14:textId="77777777" w:rsidR="007E1993" w:rsidRPr="00DB666C" w:rsidRDefault="007E1993" w:rsidP="00CC124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DB666C">
              <w:rPr>
                <w:rFonts w:ascii="Times New Roman" w:hAnsi="Times New Roman"/>
                <w:b/>
                <w:sz w:val="20"/>
              </w:rPr>
              <w:t xml:space="preserve">Limit of Detection </w:t>
            </w:r>
          </w:p>
          <w:p w14:paraId="65F3E4F0" w14:textId="77777777" w:rsidR="007E1993" w:rsidRPr="00DB666C" w:rsidRDefault="007E1993" w:rsidP="00CC124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DB666C">
              <w:rPr>
                <w:rFonts w:ascii="Times New Roman" w:hAnsi="Times New Roman"/>
                <w:b/>
                <w:sz w:val="20"/>
              </w:rPr>
              <w:t>(mg/g)</w:t>
            </w:r>
          </w:p>
        </w:tc>
        <w:tc>
          <w:tcPr>
            <w:tcW w:w="1500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14:paraId="58A2A6D3" w14:textId="77777777" w:rsidR="007E1993" w:rsidRPr="004C7B62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DB666C">
              <w:rPr>
                <w:rFonts w:ascii="Times New Roman" w:hAnsi="Times New Roman"/>
                <w:b/>
                <w:sz w:val="20"/>
              </w:rPr>
              <w:t>CAS #</w:t>
            </w:r>
          </w:p>
        </w:tc>
      </w:tr>
      <w:tr w:rsidR="007E1993" w:rsidRPr="00DB666C" w14:paraId="57AC29D6" w14:textId="77777777" w:rsidTr="00CC1247">
        <w:trPr>
          <w:jc w:val="center"/>
        </w:trPr>
        <w:tc>
          <w:tcPr>
            <w:tcW w:w="1620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1B3137C0" w14:textId="77777777" w:rsidR="007E1993" w:rsidRPr="005217BB" w:rsidRDefault="007E1993" w:rsidP="00CC1247">
            <w:pPr>
              <w:spacing w:line="0" w:lineRule="atLeast"/>
              <w:rPr>
                <w:bCs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CBD</w:t>
            </w:r>
          </w:p>
        </w:tc>
        <w:tc>
          <w:tcPr>
            <w:tcW w:w="162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4A3471AE" w14:textId="77777777" w:rsidR="007E1993" w:rsidRPr="005217BB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1.000</w:t>
            </w:r>
          </w:p>
        </w:tc>
        <w:tc>
          <w:tcPr>
            <w:tcW w:w="1620" w:type="dxa"/>
            <w:tcBorders>
              <w:bottom w:val="single" w:sz="0" w:space="0" w:color="auto"/>
            </w:tcBorders>
          </w:tcPr>
          <w:p w14:paraId="58F9EB23" w14:textId="77777777" w:rsidR="007E1993" w:rsidRPr="005217BB" w:rsidRDefault="007E1993" w:rsidP="00CC1247">
            <w:pPr>
              <w:spacing w:line="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0.3000</w:t>
            </w:r>
          </w:p>
        </w:tc>
        <w:tc>
          <w:tcPr>
            <w:tcW w:w="150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06BE9022" w14:textId="77777777" w:rsidR="007E1993" w:rsidRPr="005217BB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13956-29-1</w:t>
            </w:r>
          </w:p>
        </w:tc>
      </w:tr>
      <w:tr w:rsidR="007E1993" w:rsidRPr="00DB666C" w14:paraId="105EC013" w14:textId="77777777" w:rsidTr="00CC1247">
        <w:trPr>
          <w:jc w:val="center"/>
        </w:trPr>
        <w:tc>
          <w:tcPr>
            <w:tcW w:w="1620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02CDED82" w14:textId="77777777" w:rsidR="007E1993" w:rsidRPr="005217BB" w:rsidRDefault="007E1993" w:rsidP="00CC1247">
            <w:pPr>
              <w:spacing w:line="0" w:lineRule="atLeast"/>
              <w:rPr>
                <w:bCs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CBDA</w:t>
            </w:r>
          </w:p>
        </w:tc>
        <w:tc>
          <w:tcPr>
            <w:tcW w:w="162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311D43E2" w14:textId="77777777" w:rsidR="007E1993" w:rsidRPr="005217BB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1.000</w:t>
            </w:r>
          </w:p>
        </w:tc>
        <w:tc>
          <w:tcPr>
            <w:tcW w:w="1620" w:type="dxa"/>
            <w:tcBorders>
              <w:bottom w:val="single" w:sz="0" w:space="0" w:color="auto"/>
            </w:tcBorders>
          </w:tcPr>
          <w:p w14:paraId="4AC1FCA9" w14:textId="77777777" w:rsidR="007E1993" w:rsidRPr="005217BB" w:rsidRDefault="007E1993" w:rsidP="00CC1247">
            <w:pPr>
              <w:spacing w:line="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0.3000</w:t>
            </w:r>
          </w:p>
        </w:tc>
        <w:tc>
          <w:tcPr>
            <w:tcW w:w="150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0F06BBC9" w14:textId="77777777" w:rsidR="007E1993" w:rsidRPr="005217BB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1244-58-2</w:t>
            </w:r>
          </w:p>
        </w:tc>
      </w:tr>
      <w:tr w:rsidR="007E1993" w:rsidRPr="00DB666C" w14:paraId="7EE9645A" w14:textId="77777777" w:rsidTr="00CC1247">
        <w:trPr>
          <w:jc w:val="center"/>
        </w:trPr>
        <w:tc>
          <w:tcPr>
            <w:tcW w:w="1620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1DFB5945" w14:textId="77777777" w:rsidR="007E1993" w:rsidRPr="006508ED" w:rsidRDefault="007E1993" w:rsidP="00CC1247">
            <w:pPr>
              <w:spacing w:line="0" w:lineRule="atLeast"/>
              <w:rPr>
                <w:bCs/>
              </w:rPr>
            </w:pPr>
            <w:r w:rsidRPr="006508ED">
              <w:rPr>
                <w:rFonts w:ascii="Times New Roman" w:hAnsi="Times New Roman"/>
                <w:bCs/>
                <w:sz w:val="20"/>
              </w:rPr>
              <w:t>Δ</w:t>
            </w:r>
            <w:r w:rsidRPr="006508ED">
              <w:rPr>
                <w:rFonts w:ascii="Times New Roman" w:hAnsi="Times New Roman"/>
                <w:bCs/>
                <w:sz w:val="20"/>
                <w:vertAlign w:val="superscript"/>
              </w:rPr>
              <w:t>9</w:t>
            </w:r>
            <w:r w:rsidRPr="006508ED">
              <w:rPr>
                <w:rFonts w:ascii="Times New Roman" w:hAnsi="Times New Roman"/>
                <w:bCs/>
                <w:sz w:val="20"/>
              </w:rPr>
              <w:t>-THC</w:t>
            </w:r>
          </w:p>
        </w:tc>
        <w:tc>
          <w:tcPr>
            <w:tcW w:w="162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4E9C60AA" w14:textId="77777777" w:rsidR="007E1993" w:rsidRPr="004C7B62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4C7B62">
              <w:rPr>
                <w:rFonts w:ascii="Times New Roman" w:hAnsi="Times New Roman"/>
                <w:bCs/>
                <w:sz w:val="20"/>
              </w:rPr>
              <w:t>1.000</w:t>
            </w:r>
          </w:p>
        </w:tc>
        <w:tc>
          <w:tcPr>
            <w:tcW w:w="1620" w:type="dxa"/>
            <w:tcBorders>
              <w:bottom w:val="single" w:sz="0" w:space="0" w:color="auto"/>
            </w:tcBorders>
          </w:tcPr>
          <w:p w14:paraId="6035473A" w14:textId="77777777" w:rsidR="007E1993" w:rsidRPr="004C7B62" w:rsidRDefault="007E1993" w:rsidP="00CC1247">
            <w:pPr>
              <w:spacing w:line="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4C7B62">
              <w:rPr>
                <w:rFonts w:ascii="Times New Roman" w:hAnsi="Times New Roman"/>
                <w:bCs/>
                <w:sz w:val="20"/>
              </w:rPr>
              <w:t>0.3000</w:t>
            </w:r>
          </w:p>
        </w:tc>
        <w:tc>
          <w:tcPr>
            <w:tcW w:w="150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76FA645E" w14:textId="77777777" w:rsidR="007E1993" w:rsidRPr="004C7B62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4C7B62">
              <w:rPr>
                <w:rFonts w:ascii="Times New Roman" w:hAnsi="Times New Roman"/>
                <w:bCs/>
                <w:sz w:val="20"/>
              </w:rPr>
              <w:t>1972-08-3</w:t>
            </w:r>
          </w:p>
        </w:tc>
      </w:tr>
      <w:tr w:rsidR="007E1993" w:rsidRPr="00DB666C" w14:paraId="52B78132" w14:textId="77777777" w:rsidTr="00CC1247">
        <w:trPr>
          <w:jc w:val="center"/>
        </w:trPr>
        <w:tc>
          <w:tcPr>
            <w:tcW w:w="1620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5ABBDAC9" w14:textId="77777777" w:rsidR="007E1993" w:rsidRPr="004C7B62" w:rsidRDefault="007E1993" w:rsidP="00CC1247">
            <w:pPr>
              <w:spacing w:line="0" w:lineRule="atLeast"/>
              <w:rPr>
                <w:bCs/>
              </w:rPr>
            </w:pPr>
            <w:r w:rsidRPr="004C7B62">
              <w:rPr>
                <w:rFonts w:ascii="Times New Roman" w:hAnsi="Times New Roman"/>
                <w:bCs/>
                <w:sz w:val="20"/>
              </w:rPr>
              <w:t>Δ</w:t>
            </w:r>
            <w:r w:rsidRPr="004C7B62">
              <w:rPr>
                <w:rFonts w:ascii="Times New Roman" w:hAnsi="Times New Roman"/>
                <w:bCs/>
                <w:sz w:val="20"/>
                <w:vertAlign w:val="superscript"/>
              </w:rPr>
              <w:t>9</w:t>
            </w:r>
            <w:r w:rsidRPr="004C7B62">
              <w:rPr>
                <w:rFonts w:ascii="Times New Roman" w:hAnsi="Times New Roman"/>
                <w:bCs/>
                <w:sz w:val="20"/>
              </w:rPr>
              <w:t>-THCA</w:t>
            </w:r>
          </w:p>
        </w:tc>
        <w:tc>
          <w:tcPr>
            <w:tcW w:w="162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73C5483A" w14:textId="77777777" w:rsidR="007E1993" w:rsidRPr="004C7B62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4C7B62">
              <w:rPr>
                <w:rFonts w:ascii="Times New Roman" w:hAnsi="Times New Roman"/>
                <w:bCs/>
                <w:sz w:val="20"/>
              </w:rPr>
              <w:t>1.000</w:t>
            </w:r>
          </w:p>
        </w:tc>
        <w:tc>
          <w:tcPr>
            <w:tcW w:w="1620" w:type="dxa"/>
            <w:tcBorders>
              <w:bottom w:val="single" w:sz="0" w:space="0" w:color="auto"/>
            </w:tcBorders>
          </w:tcPr>
          <w:p w14:paraId="7270D8E5" w14:textId="77777777" w:rsidR="007E1993" w:rsidRPr="004C7B62" w:rsidRDefault="007E1993" w:rsidP="00CC1247">
            <w:pPr>
              <w:spacing w:line="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4C7B62">
              <w:rPr>
                <w:rFonts w:ascii="Times New Roman" w:hAnsi="Times New Roman"/>
                <w:bCs/>
                <w:sz w:val="20"/>
              </w:rPr>
              <w:t>0.3000</w:t>
            </w:r>
          </w:p>
        </w:tc>
        <w:tc>
          <w:tcPr>
            <w:tcW w:w="1500" w:type="dxa"/>
            <w:tcBorders>
              <w:bottom w:val="single" w:sz="0" w:space="0" w:color="auto"/>
              <w:right w:val="single" w:sz="0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6E3DC4E5" w14:textId="77777777" w:rsidR="007E1993" w:rsidRPr="005217BB" w:rsidRDefault="007E1993" w:rsidP="00CC1247">
            <w:pPr>
              <w:spacing w:line="0" w:lineRule="atLeast"/>
              <w:jc w:val="center"/>
              <w:rPr>
                <w:bCs/>
              </w:rPr>
            </w:pPr>
            <w:r w:rsidRPr="005217BB">
              <w:rPr>
                <w:rFonts w:ascii="Times New Roman" w:hAnsi="Times New Roman"/>
                <w:bCs/>
                <w:sz w:val="20"/>
              </w:rPr>
              <w:t>23978-85-0</w:t>
            </w:r>
          </w:p>
        </w:tc>
      </w:tr>
    </w:tbl>
    <w:p w14:paraId="64E44CAE" w14:textId="77777777" w:rsidR="007E1993" w:rsidRPr="004C7B62" w:rsidRDefault="007E1993" w:rsidP="007E1993">
      <w:pPr>
        <w:spacing w:line="640" w:lineRule="exact"/>
        <w:rPr>
          <w:b/>
          <w:bCs/>
        </w:rPr>
      </w:pPr>
    </w:p>
    <w:p w14:paraId="255E902C" w14:textId="7934C986" w:rsidR="007E1993" w:rsidRDefault="007E1993" w:rsidP="007E1993">
      <w:pPr>
        <w:spacing w:line="640" w:lineRule="exact"/>
        <w:ind w:firstLine="720"/>
      </w:pPr>
      <w:r>
        <w:t>(ii</w:t>
      </w:r>
      <w:r w:rsidRPr="005D66DC">
        <w:t>)</w:t>
      </w:r>
      <w:r w:rsidRPr="00820BE7">
        <w:rPr>
          <w:b/>
          <w:bCs/>
        </w:rPr>
        <w:t xml:space="preserve"> </w:t>
      </w:r>
      <w:r w:rsidR="003139F2">
        <w:rPr>
          <w:b/>
          <w:bCs/>
        </w:rPr>
        <w:t xml:space="preserve">Total THC. </w:t>
      </w:r>
      <w:r w:rsidR="00D30363">
        <w:rPr>
          <w:b/>
          <w:bCs/>
        </w:rPr>
        <w:t xml:space="preserve">Laboratories must report the total THC concentration </w:t>
      </w:r>
      <w:r w:rsidR="003139F2">
        <w:rPr>
          <w:b/>
          <w:bCs/>
        </w:rPr>
        <w:t>as</w:t>
      </w:r>
      <w:r w:rsidR="00D30363">
        <w:rPr>
          <w:b/>
          <w:bCs/>
        </w:rPr>
        <w:t xml:space="preserve"> the sum of the concentrations of </w:t>
      </w:r>
      <w:r w:rsidR="00D30363" w:rsidRPr="005217BB">
        <w:rPr>
          <w:rFonts w:ascii="Times New Roman" w:hAnsi="Times New Roman"/>
          <w:b/>
          <w:sz w:val="20"/>
        </w:rPr>
        <w:t>Δ</w:t>
      </w:r>
      <w:r w:rsidR="00D30363" w:rsidRPr="005217BB">
        <w:rPr>
          <w:rFonts w:ascii="Times New Roman" w:hAnsi="Times New Roman"/>
          <w:b/>
          <w:sz w:val="20"/>
          <w:vertAlign w:val="superscript"/>
        </w:rPr>
        <w:t>9</w:t>
      </w:r>
      <w:r w:rsidR="00D30363" w:rsidRPr="005217BB">
        <w:rPr>
          <w:rFonts w:ascii="Times New Roman" w:hAnsi="Times New Roman"/>
          <w:b/>
          <w:sz w:val="20"/>
        </w:rPr>
        <w:t>-THC</w:t>
      </w:r>
      <w:r w:rsidR="00D30363" w:rsidRPr="00820BE7">
        <w:rPr>
          <w:b/>
          <w:bCs/>
        </w:rPr>
        <w:t xml:space="preserve"> </w:t>
      </w:r>
      <w:r w:rsidR="00D30363">
        <w:rPr>
          <w:b/>
          <w:bCs/>
        </w:rPr>
        <w:t xml:space="preserve">and </w:t>
      </w:r>
      <w:r w:rsidR="00D30363" w:rsidRPr="004C7B62">
        <w:rPr>
          <w:rFonts w:ascii="Times New Roman" w:hAnsi="Times New Roman"/>
          <w:bCs/>
          <w:sz w:val="20"/>
        </w:rPr>
        <w:t>Δ</w:t>
      </w:r>
      <w:r w:rsidR="00D30363" w:rsidRPr="004C7B62">
        <w:rPr>
          <w:rFonts w:ascii="Times New Roman" w:hAnsi="Times New Roman"/>
          <w:bCs/>
          <w:sz w:val="20"/>
          <w:vertAlign w:val="superscript"/>
        </w:rPr>
        <w:t>9</w:t>
      </w:r>
      <w:r w:rsidR="00D30363" w:rsidRPr="004C7B62">
        <w:rPr>
          <w:rFonts w:ascii="Times New Roman" w:hAnsi="Times New Roman"/>
          <w:bCs/>
          <w:sz w:val="20"/>
        </w:rPr>
        <w:t>-THCA</w:t>
      </w:r>
      <w:r w:rsidR="00D30363">
        <w:rPr>
          <w:rFonts w:ascii="Times New Roman" w:hAnsi="Times New Roman"/>
          <w:bCs/>
          <w:sz w:val="20"/>
        </w:rPr>
        <w:t xml:space="preserve"> </w:t>
      </w:r>
      <w:r w:rsidR="00D30363">
        <w:t xml:space="preserve">and </w:t>
      </w:r>
      <w:r w:rsidR="003139F2">
        <w:t xml:space="preserve">the concentrations of </w:t>
      </w:r>
      <w:r w:rsidR="00D30363">
        <w:t xml:space="preserve">any additional </w:t>
      </w:r>
      <w:r w:rsidRPr="004C7B62">
        <w:t>THC compound</w:t>
      </w:r>
      <w:r w:rsidR="00D30363">
        <w:t>s</w:t>
      </w:r>
      <w:r w:rsidRPr="004C7B62">
        <w:t xml:space="preserve"> </w:t>
      </w:r>
      <w:r>
        <w:t xml:space="preserve">tested and </w:t>
      </w:r>
      <w:r w:rsidRPr="004C7B62">
        <w:t>detected in the cannabinoid concentration analysis</w:t>
      </w:r>
      <w:r>
        <w:t xml:space="preserve">, </w:t>
      </w:r>
      <w:r>
        <w:lastRenderedPageBreak/>
        <w:t xml:space="preserve">regardless of whether the THC compound is required to be tested by the board under this subsection. </w:t>
      </w:r>
    </w:p>
    <w:p w14:paraId="37CD9D1C" w14:textId="77777777" w:rsidR="007E1993" w:rsidRDefault="007E1993" w:rsidP="007E1993">
      <w:pPr>
        <w:spacing w:line="640" w:lineRule="exact"/>
        <w:ind w:firstLine="720"/>
      </w:pPr>
      <w:r>
        <w:t xml:space="preserve">(A) </w:t>
      </w:r>
      <w:r w:rsidRPr="004C7B62">
        <w:t>To calculate the total THC</w:t>
      </w:r>
      <w:r>
        <w:t xml:space="preserve"> if only delta-9 THC and delta-9 THCA are tested, </w:t>
      </w:r>
      <w:r w:rsidRPr="004C7B62">
        <w:t>the following formula must be used, where M is the mass or fraction of the</w:t>
      </w:r>
      <w:r>
        <w:t xml:space="preserve"> THC compound: M total delta-9 THC = (0.8770 x delta-9 THCA) + delta-9 THC.</w:t>
      </w:r>
    </w:p>
    <w:p w14:paraId="66110CB1" w14:textId="77777777" w:rsidR="007E1993" w:rsidRDefault="007E1993" w:rsidP="007E1993">
      <w:pPr>
        <w:spacing w:line="640" w:lineRule="exact"/>
        <w:ind w:firstLine="720"/>
      </w:pPr>
      <w:r>
        <w:t xml:space="preserve">(B) To calculate the total THC if THC compounds, other than delta-9 THC and THCA, are tested and detected, the following formula must be used, where M is the mass or fraction of the THC compound: M total THC = ((0.8770 x M delta-9 THCA) + M delta-9 THC) + ((conversion factor x M THC acid)+ M THC compound). </w:t>
      </w:r>
    </w:p>
    <w:p w14:paraId="3720D41E" w14:textId="77777777" w:rsidR="007E1993" w:rsidRDefault="007E1993" w:rsidP="007E1993">
      <w:pPr>
        <w:spacing w:line="640" w:lineRule="exact"/>
        <w:ind w:firstLine="720"/>
      </w:pPr>
      <w:r w:rsidRPr="006119D9">
        <w:t>(</w:t>
      </w:r>
      <w:r>
        <w:t>iii</w:t>
      </w:r>
      <w:r w:rsidRPr="006119D9">
        <w:t xml:space="preserve">) </w:t>
      </w:r>
      <w:r w:rsidRPr="00F17DE5">
        <w:rPr>
          <w:b/>
          <w:bCs/>
        </w:rPr>
        <w:t>Total CBD</w:t>
      </w:r>
      <w:r w:rsidRPr="006119D9">
        <w:t>.</w:t>
      </w:r>
      <w:r>
        <w:t xml:space="preserve"> To calculate total CBD, the following formula must be used, where M is the mass or fraction of CBD and CBDA: M total CBD = (0.8770 x M CBDA) + M CBD.</w:t>
      </w:r>
    </w:p>
    <w:p w14:paraId="0176595F" w14:textId="43ADAE83" w:rsidR="007E1993" w:rsidRDefault="007E1993" w:rsidP="007E1993">
      <w:pPr>
        <w:spacing w:line="640" w:lineRule="exact"/>
        <w:ind w:firstLine="720"/>
      </w:pPr>
      <w:r w:rsidRPr="00C600D8">
        <w:t xml:space="preserve">(vi) Regardless of analytical equipment or methodology, certified labs must accurately measure and report </w:t>
      </w:r>
      <w:r>
        <w:t xml:space="preserve">the acidic and neutral forms of the </w:t>
      </w:r>
      <w:r w:rsidRPr="00C600D8">
        <w:t>cannabinoid concentration</w:t>
      </w:r>
      <w:r>
        <w:t xml:space="preserve">s </w:t>
      </w:r>
      <w:r w:rsidRPr="00C600D8">
        <w:t xml:space="preserve">to the board in the </w:t>
      </w:r>
      <w:r w:rsidR="003139F2">
        <w:t xml:space="preserve">board’s </w:t>
      </w:r>
      <w:r w:rsidRPr="00C600D8">
        <w:t xml:space="preserve">traceability system. </w:t>
      </w:r>
    </w:p>
    <w:p w14:paraId="5A3F34E4" w14:textId="77777777" w:rsidR="00A20D75" w:rsidRPr="007E1993" w:rsidRDefault="00A20D75" w:rsidP="007E1993"/>
    <w:sectPr w:rsidR="00A20D75" w:rsidRPr="007E19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BD02" w14:textId="77777777" w:rsidR="00B56079" w:rsidRDefault="00B56079" w:rsidP="006508ED">
      <w:r>
        <w:separator/>
      </w:r>
    </w:p>
  </w:endnote>
  <w:endnote w:type="continuationSeparator" w:id="0">
    <w:p w14:paraId="206DB1F5" w14:textId="77777777" w:rsidR="00B56079" w:rsidRDefault="00B56079" w:rsidP="006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951E" w14:textId="77777777" w:rsidR="00B56079" w:rsidRDefault="00B56079" w:rsidP="006508ED">
      <w:r>
        <w:separator/>
      </w:r>
    </w:p>
  </w:footnote>
  <w:footnote w:type="continuationSeparator" w:id="0">
    <w:p w14:paraId="55ADB3C5" w14:textId="77777777" w:rsidR="00B56079" w:rsidRDefault="00B56079" w:rsidP="0065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7224" w14:textId="41E5EE97" w:rsidR="006508ED" w:rsidRDefault="006508ED">
    <w:pPr>
      <w:pStyle w:val="Header"/>
    </w:pPr>
    <w:r>
      <w:t>DRAFT – WAC 314-55-102(3)(a)</w:t>
    </w:r>
  </w:p>
  <w:p w14:paraId="2CFEE262" w14:textId="45516D1A" w:rsidR="006508ED" w:rsidRDefault="006508ED">
    <w:pPr>
      <w:pStyle w:val="Header"/>
    </w:pPr>
    <w:r>
      <w:fldChar w:fldCharType="begin"/>
    </w:r>
    <w:r>
      <w:instrText xml:space="preserve"> DATE \@ "M/d/yyyy h:mm am/pm" </w:instrText>
    </w:r>
    <w:r>
      <w:fldChar w:fldCharType="separate"/>
    </w:r>
    <w:r w:rsidR="002A30B3">
      <w:rPr>
        <w:noProof/>
      </w:rPr>
      <w:t>4/19/2024 2:20 PM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BD"/>
    <w:rsid w:val="0014232A"/>
    <w:rsid w:val="002A30B3"/>
    <w:rsid w:val="003139F2"/>
    <w:rsid w:val="003703FE"/>
    <w:rsid w:val="00507BBA"/>
    <w:rsid w:val="006508ED"/>
    <w:rsid w:val="007E1993"/>
    <w:rsid w:val="00A20D75"/>
    <w:rsid w:val="00AD6CBD"/>
    <w:rsid w:val="00B31570"/>
    <w:rsid w:val="00B56079"/>
    <w:rsid w:val="00D30363"/>
    <w:rsid w:val="00D351E4"/>
    <w:rsid w:val="00E22131"/>
    <w:rsid w:val="00F0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619"/>
  <w15:chartTrackingRefBased/>
  <w15:docId w15:val="{940B547D-FDE1-46C0-82CA-78A9688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BD"/>
    <w:pPr>
      <w:spacing w:after="0" w:line="240" w:lineRule="auto"/>
    </w:pPr>
    <w:rPr>
      <w:rFonts w:ascii="Courier New" w:eastAsiaTheme="minorEastAsia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CBD"/>
    <w:rPr>
      <w:rFonts w:ascii="Courier New" w:eastAsiaTheme="minorEastAsia" w:hAnsi="Courier New"/>
      <w:sz w:val="20"/>
      <w:szCs w:val="20"/>
    </w:rPr>
  </w:style>
  <w:style w:type="paragraph" w:styleId="Revision">
    <w:name w:val="Revision"/>
    <w:hidden/>
    <w:uiPriority w:val="99"/>
    <w:semiHidden/>
    <w:rsid w:val="00507BBA"/>
    <w:pPr>
      <w:spacing w:after="0" w:line="240" w:lineRule="auto"/>
    </w:pPr>
    <w:rPr>
      <w:rFonts w:ascii="Courier New" w:eastAsiaTheme="minorEastAsia" w:hAnsi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650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ED"/>
    <w:rPr>
      <w:rFonts w:ascii="Courier New" w:eastAsiaTheme="minorEastAsia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50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ED"/>
    <w:rPr>
      <w:rFonts w:ascii="Courier New" w:eastAsiaTheme="minorEastAsia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Cassidy (LCB)</dc:creator>
  <cp:keywords/>
  <dc:description/>
  <cp:lastModifiedBy>Laflamme, Denise M (LCB)</cp:lastModifiedBy>
  <cp:revision>2</cp:revision>
  <dcterms:created xsi:type="dcterms:W3CDTF">2024-04-19T21:20:00Z</dcterms:created>
  <dcterms:modified xsi:type="dcterms:W3CDTF">2024-04-19T21:20:00Z</dcterms:modified>
</cp:coreProperties>
</file>