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0" w:type="dxa"/>
        <w:tblLook w:val="04A0" w:firstRow="1" w:lastRow="0" w:firstColumn="1" w:lastColumn="0" w:noHBand="0" w:noVBand="1"/>
      </w:tblPr>
      <w:tblGrid>
        <w:gridCol w:w="1818"/>
        <w:gridCol w:w="7740"/>
      </w:tblGrid>
      <w:tr w:rsidR="00A16679" w:rsidRPr="00A97C42" w:rsidTr="00BD4515">
        <w:tc>
          <w:tcPr>
            <w:tcW w:w="9558" w:type="dxa"/>
            <w:gridSpan w:val="2"/>
          </w:tcPr>
          <w:p w:rsidR="00A16679" w:rsidRPr="00A97C42" w:rsidRDefault="00A16679" w:rsidP="00BD4515">
            <w:pPr>
              <w:pStyle w:val="PMOBody"/>
              <w:ind w:left="0"/>
              <w:rPr>
                <w:rFonts w:ascii="Calibri" w:hAnsi="Calibri"/>
                <w:b/>
                <w:sz w:val="32"/>
                <w:szCs w:val="32"/>
              </w:rPr>
            </w:pPr>
          </w:p>
        </w:tc>
      </w:tr>
      <w:tr w:rsidR="00A16679" w:rsidRPr="00A97C42" w:rsidTr="00BD4515">
        <w:tc>
          <w:tcPr>
            <w:tcW w:w="9558" w:type="dxa"/>
            <w:gridSpan w:val="2"/>
          </w:tcPr>
          <w:p w:rsidR="00A16679" w:rsidRPr="00344A63" w:rsidRDefault="00A16679" w:rsidP="00895F9D">
            <w:pPr>
              <w:pStyle w:val="PMOBody"/>
              <w:spacing w:before="60"/>
              <w:ind w:left="0"/>
              <w:rPr>
                <w:rFonts w:ascii="Arial" w:hAnsi="Arial" w:cs="Arial"/>
                <w:b/>
                <w:sz w:val="28"/>
                <w:szCs w:val="28"/>
              </w:rPr>
            </w:pPr>
            <w:r w:rsidRPr="00344A63">
              <w:rPr>
                <w:rFonts w:ascii="Arial" w:hAnsi="Arial" w:cs="Arial"/>
                <w:b/>
                <w:sz w:val="28"/>
                <w:szCs w:val="28"/>
              </w:rPr>
              <w:t xml:space="preserve">Alcohol Impact Area Review – </w:t>
            </w:r>
            <w:r w:rsidR="00895F9D">
              <w:rPr>
                <w:rFonts w:ascii="Arial" w:hAnsi="Arial" w:cs="Arial"/>
                <w:b/>
                <w:sz w:val="28"/>
                <w:szCs w:val="28"/>
              </w:rPr>
              <w:t>Tacoma Lincoln</w:t>
            </w:r>
            <w:r w:rsidRPr="00344A63">
              <w:rPr>
                <w:rFonts w:ascii="Arial" w:hAnsi="Arial" w:cs="Arial"/>
                <w:b/>
                <w:sz w:val="28"/>
                <w:szCs w:val="28"/>
              </w:rPr>
              <w:t xml:space="preserve"> </w:t>
            </w:r>
            <w:r w:rsidR="007D6064">
              <w:rPr>
                <w:rFonts w:ascii="Arial" w:hAnsi="Arial" w:cs="Arial"/>
                <w:b/>
                <w:sz w:val="28"/>
                <w:szCs w:val="28"/>
              </w:rPr>
              <w:t>District</w:t>
            </w:r>
          </w:p>
        </w:tc>
      </w:tr>
      <w:tr w:rsidR="00A16679" w:rsidRPr="00A97C42" w:rsidTr="00BD4515">
        <w:tc>
          <w:tcPr>
            <w:tcW w:w="1818" w:type="dxa"/>
          </w:tcPr>
          <w:p w:rsidR="00A16679" w:rsidRPr="00A97C42" w:rsidRDefault="00A16679" w:rsidP="00BD4515">
            <w:pPr>
              <w:pStyle w:val="PMOHeading2"/>
              <w:spacing w:before="60"/>
              <w:ind w:left="0"/>
              <w:rPr>
                <w:rFonts w:ascii="Arial" w:hAnsi="Arial" w:cs="Arial"/>
                <w:sz w:val="20"/>
              </w:rPr>
            </w:pPr>
            <w:r w:rsidRPr="00A97C42">
              <w:rPr>
                <w:rFonts w:ascii="Arial" w:hAnsi="Arial" w:cs="Arial"/>
                <w:sz w:val="20"/>
              </w:rPr>
              <w:t xml:space="preserve">Date: </w:t>
            </w:r>
          </w:p>
        </w:tc>
        <w:tc>
          <w:tcPr>
            <w:tcW w:w="7740" w:type="dxa"/>
          </w:tcPr>
          <w:p w:rsidR="00A16679" w:rsidRPr="001245B6" w:rsidRDefault="00A16679" w:rsidP="00BD4515">
            <w:pPr>
              <w:pStyle w:val="PMOHeading2"/>
              <w:spacing w:before="60"/>
              <w:ind w:left="0"/>
              <w:rPr>
                <w:rFonts w:ascii="Arial" w:hAnsi="Arial" w:cs="Arial"/>
              </w:rPr>
            </w:pPr>
            <w:r>
              <w:rPr>
                <w:rFonts w:ascii="Arial" w:hAnsi="Arial" w:cs="Arial"/>
              </w:rPr>
              <w:t>May 20, 2015</w:t>
            </w:r>
          </w:p>
        </w:tc>
      </w:tr>
      <w:tr w:rsidR="00A16679" w:rsidRPr="00A97C42" w:rsidTr="00BD4515">
        <w:tc>
          <w:tcPr>
            <w:tcW w:w="1818" w:type="dxa"/>
          </w:tcPr>
          <w:p w:rsidR="00A16679" w:rsidRPr="00A97C42" w:rsidRDefault="00A16679" w:rsidP="00BD4515">
            <w:pPr>
              <w:pStyle w:val="PMOHeading2"/>
              <w:spacing w:before="60"/>
              <w:ind w:left="0"/>
              <w:rPr>
                <w:rFonts w:ascii="Arial" w:hAnsi="Arial" w:cs="Arial"/>
                <w:sz w:val="20"/>
              </w:rPr>
            </w:pPr>
            <w:r w:rsidRPr="00A97C42">
              <w:rPr>
                <w:rFonts w:ascii="Arial" w:hAnsi="Arial" w:cs="Arial"/>
                <w:sz w:val="20"/>
              </w:rPr>
              <w:t>Presented by:</w:t>
            </w:r>
          </w:p>
        </w:tc>
        <w:tc>
          <w:tcPr>
            <w:tcW w:w="7740" w:type="dxa"/>
          </w:tcPr>
          <w:p w:rsidR="00A16679" w:rsidRDefault="00A16679" w:rsidP="00BD4515">
            <w:pPr>
              <w:pStyle w:val="PMOHeading2"/>
              <w:spacing w:before="60"/>
              <w:ind w:left="0"/>
              <w:rPr>
                <w:rFonts w:ascii="Arial" w:hAnsi="Arial" w:cs="Arial"/>
              </w:rPr>
            </w:pPr>
            <w:r>
              <w:rPr>
                <w:rFonts w:ascii="Arial" w:hAnsi="Arial" w:cs="Arial"/>
              </w:rPr>
              <w:t>Mary Segawa, Public Health Education Liaison</w:t>
            </w:r>
          </w:p>
          <w:p w:rsidR="00A16679" w:rsidRPr="00A97C42" w:rsidRDefault="00A16679" w:rsidP="00BD4515">
            <w:pPr>
              <w:pStyle w:val="PMOHeading2"/>
              <w:spacing w:before="60"/>
              <w:ind w:left="0"/>
              <w:rPr>
                <w:rFonts w:ascii="Arial" w:hAnsi="Arial" w:cs="Arial"/>
              </w:rPr>
            </w:pPr>
            <w:r>
              <w:rPr>
                <w:rFonts w:ascii="Arial" w:hAnsi="Arial" w:cs="Arial"/>
              </w:rPr>
              <w:t>Director’s Office</w:t>
            </w:r>
          </w:p>
        </w:tc>
      </w:tr>
      <w:tr w:rsidR="00A16679" w:rsidRPr="00A97C42" w:rsidTr="00BD4515">
        <w:tc>
          <w:tcPr>
            <w:tcW w:w="1818" w:type="dxa"/>
          </w:tcPr>
          <w:p w:rsidR="00A16679" w:rsidRPr="00A97C42" w:rsidRDefault="00A16679" w:rsidP="00BD4515">
            <w:pPr>
              <w:pStyle w:val="PMOHeading2"/>
              <w:spacing w:before="60"/>
              <w:ind w:left="0"/>
              <w:rPr>
                <w:rFonts w:ascii="Arial" w:hAnsi="Arial" w:cs="Arial"/>
                <w:sz w:val="20"/>
              </w:rPr>
            </w:pPr>
          </w:p>
        </w:tc>
        <w:tc>
          <w:tcPr>
            <w:tcW w:w="7740" w:type="dxa"/>
          </w:tcPr>
          <w:p w:rsidR="00A16679" w:rsidRDefault="00A16679" w:rsidP="00BD4515">
            <w:pPr>
              <w:pStyle w:val="PMOHeading2"/>
              <w:spacing w:before="60"/>
              <w:ind w:left="0"/>
              <w:rPr>
                <w:rFonts w:ascii="Arial" w:hAnsi="Arial" w:cs="Arial"/>
              </w:rPr>
            </w:pPr>
          </w:p>
        </w:tc>
      </w:tr>
    </w:tbl>
    <w:p w:rsidR="00A16679" w:rsidRPr="000A4971" w:rsidRDefault="00A16679" w:rsidP="00A16679">
      <w:pPr>
        <w:pStyle w:val="PMOHeading2"/>
        <w:spacing w:before="60"/>
        <w:rPr>
          <w:rFonts w:ascii="Arial" w:hAnsi="Arial" w:cs="Arial"/>
          <w:sz w:val="20"/>
        </w:rPr>
      </w:pPr>
    </w:p>
    <w:p w:rsidR="00A16679" w:rsidRPr="000A4971" w:rsidRDefault="00A16679" w:rsidP="00A16679">
      <w:pPr>
        <w:pStyle w:val="PMOHeading2"/>
        <w:spacing w:before="60"/>
        <w:rPr>
          <w:rFonts w:ascii="Arial" w:hAnsi="Arial" w:cs="Arial"/>
          <w:sz w:val="20"/>
        </w:rPr>
      </w:pPr>
      <w:r w:rsidRPr="000A4971">
        <w:rPr>
          <w:rFonts w:ascii="Arial" w:hAnsi="Arial" w:cs="Arial"/>
          <w:sz w:val="20"/>
        </w:rPr>
        <w:t>Background</w:t>
      </w:r>
    </w:p>
    <w:p w:rsidR="00A16679" w:rsidRPr="000A4971" w:rsidRDefault="00A16679" w:rsidP="00A16679">
      <w:pPr>
        <w:pStyle w:val="PMOBody"/>
        <w:spacing w:before="60"/>
        <w:rPr>
          <w:rFonts w:ascii="Arial" w:hAnsi="Arial" w:cs="Arial"/>
          <w:sz w:val="20"/>
          <w:szCs w:val="20"/>
        </w:rPr>
      </w:pPr>
    </w:p>
    <w:tbl>
      <w:tblPr>
        <w:tblW w:w="9720" w:type="dxa"/>
        <w:tblInd w:w="720" w:type="dxa"/>
        <w:tblLook w:val="04A0" w:firstRow="1" w:lastRow="0" w:firstColumn="1" w:lastColumn="0" w:noHBand="0" w:noVBand="1"/>
      </w:tblPr>
      <w:tblGrid>
        <w:gridCol w:w="9720"/>
      </w:tblGrid>
      <w:tr w:rsidR="00A16679" w:rsidRPr="00A97C42" w:rsidTr="00BD4515">
        <w:tc>
          <w:tcPr>
            <w:tcW w:w="9720" w:type="dxa"/>
          </w:tcPr>
          <w:p w:rsidR="00A16679" w:rsidRPr="00D70C03" w:rsidRDefault="00A16679" w:rsidP="00BD4515">
            <w:pPr>
              <w:pStyle w:val="PMOBody"/>
              <w:spacing w:before="60"/>
              <w:ind w:left="0"/>
              <w:rPr>
                <w:rFonts w:ascii="Arial" w:hAnsi="Arial" w:cs="Arial"/>
                <w:sz w:val="20"/>
                <w:szCs w:val="20"/>
              </w:rPr>
            </w:pPr>
            <w:r>
              <w:rPr>
                <w:rFonts w:ascii="Arial" w:hAnsi="Arial" w:cs="Arial"/>
                <w:sz w:val="20"/>
                <w:szCs w:val="20"/>
              </w:rPr>
              <w:t xml:space="preserve">On </w:t>
            </w:r>
            <w:r w:rsidR="00AF0270">
              <w:rPr>
                <w:rFonts w:ascii="Arial" w:hAnsi="Arial" w:cs="Arial"/>
                <w:sz w:val="20"/>
                <w:szCs w:val="20"/>
              </w:rPr>
              <w:t>July 15, 2008,</w:t>
            </w:r>
            <w:r>
              <w:rPr>
                <w:rFonts w:ascii="Arial" w:hAnsi="Arial" w:cs="Arial"/>
                <w:sz w:val="20"/>
                <w:szCs w:val="20"/>
              </w:rPr>
              <w:t xml:space="preserve"> the Board granted recognition of the </w:t>
            </w:r>
            <w:r w:rsidR="00AF0270">
              <w:rPr>
                <w:rFonts w:ascii="Arial" w:hAnsi="Arial" w:cs="Arial"/>
                <w:sz w:val="20"/>
                <w:szCs w:val="20"/>
              </w:rPr>
              <w:t>Tacoma Lincoln District</w:t>
            </w:r>
            <w:r>
              <w:rPr>
                <w:rFonts w:ascii="Arial" w:hAnsi="Arial" w:cs="Arial"/>
                <w:sz w:val="20"/>
                <w:szCs w:val="20"/>
              </w:rPr>
              <w:t xml:space="preserve"> Alcohol Impact Area, </w:t>
            </w:r>
            <w:r w:rsidR="00AF0270">
              <w:rPr>
                <w:rFonts w:ascii="Arial" w:hAnsi="Arial" w:cs="Arial"/>
                <w:sz w:val="20"/>
                <w:szCs w:val="20"/>
              </w:rPr>
              <w:t>with enforcement beginning in September, 2008.</w:t>
            </w:r>
            <w:r>
              <w:rPr>
                <w:rFonts w:ascii="Arial" w:hAnsi="Arial" w:cs="Arial"/>
                <w:sz w:val="20"/>
                <w:szCs w:val="20"/>
              </w:rPr>
              <w:t xml:space="preserve"> Per WAC 314-12-215, this document provides a review of the data submitted to the Liquor Control Board in the annual reports covering 20</w:t>
            </w:r>
            <w:r w:rsidR="00AF0270">
              <w:rPr>
                <w:rFonts w:ascii="Arial" w:hAnsi="Arial" w:cs="Arial"/>
                <w:sz w:val="20"/>
                <w:szCs w:val="20"/>
              </w:rPr>
              <w:t>09</w:t>
            </w:r>
            <w:r>
              <w:rPr>
                <w:rFonts w:ascii="Arial" w:hAnsi="Arial" w:cs="Arial"/>
                <w:sz w:val="20"/>
                <w:szCs w:val="20"/>
              </w:rPr>
              <w:t xml:space="preserve"> through 2014.</w:t>
            </w:r>
          </w:p>
          <w:p w:rsidR="00A16679" w:rsidRPr="00D70C03" w:rsidRDefault="00A16679" w:rsidP="00BD4515">
            <w:pPr>
              <w:pStyle w:val="PMOBody"/>
              <w:spacing w:before="60"/>
              <w:ind w:left="0"/>
              <w:rPr>
                <w:rFonts w:ascii="Arial" w:hAnsi="Arial" w:cs="Arial"/>
                <w:sz w:val="20"/>
                <w:szCs w:val="20"/>
              </w:rPr>
            </w:pPr>
          </w:p>
        </w:tc>
      </w:tr>
    </w:tbl>
    <w:p w:rsidR="00A16679" w:rsidRDefault="00A16679" w:rsidP="00A16679">
      <w:pPr>
        <w:rPr>
          <w:rFonts w:cs="Arial"/>
          <w:szCs w:val="20"/>
        </w:rPr>
      </w:pPr>
    </w:p>
    <w:p w:rsidR="00A16679" w:rsidRDefault="00A16679" w:rsidP="00A16679">
      <w:pPr>
        <w:rPr>
          <w:rFonts w:cs="Arial"/>
          <w:szCs w:val="20"/>
        </w:rPr>
      </w:pPr>
    </w:p>
    <w:p w:rsidR="00A16679" w:rsidRPr="00A5271D" w:rsidRDefault="00A16679" w:rsidP="00A16679">
      <w:pPr>
        <w:ind w:firstLine="720"/>
        <w:rPr>
          <w:rFonts w:cs="Arial"/>
          <w:b/>
        </w:rPr>
      </w:pPr>
      <w:r w:rsidRPr="00A5271D">
        <w:rPr>
          <w:rFonts w:cs="Arial"/>
          <w:b/>
        </w:rPr>
        <w:t>Findings</w:t>
      </w:r>
    </w:p>
    <w:p w:rsidR="00A16679" w:rsidRPr="000A4971" w:rsidRDefault="00A16679" w:rsidP="00A16679">
      <w:pPr>
        <w:pStyle w:val="PMOHeading2"/>
        <w:spacing w:before="60"/>
        <w:rPr>
          <w:rFonts w:ascii="Arial" w:hAnsi="Arial" w:cs="Arial"/>
          <w:color w:val="808080"/>
          <w:sz w:val="20"/>
        </w:rPr>
      </w:pPr>
    </w:p>
    <w:tbl>
      <w:tblPr>
        <w:tblW w:w="0" w:type="auto"/>
        <w:tblInd w:w="720" w:type="dxa"/>
        <w:tblLook w:val="04A0" w:firstRow="1" w:lastRow="0" w:firstColumn="1" w:lastColumn="0" w:noHBand="0" w:noVBand="1"/>
      </w:tblPr>
      <w:tblGrid>
        <w:gridCol w:w="9576"/>
      </w:tblGrid>
      <w:tr w:rsidR="00A16679" w:rsidRPr="00A97C42" w:rsidTr="00BD4515">
        <w:tc>
          <w:tcPr>
            <w:tcW w:w="9576" w:type="dxa"/>
          </w:tcPr>
          <w:p w:rsidR="00401C25" w:rsidRDefault="00401C25" w:rsidP="006D1408">
            <w:pPr>
              <w:pStyle w:val="PMOBody"/>
              <w:spacing w:before="60"/>
              <w:ind w:left="0"/>
              <w:rPr>
                <w:rFonts w:ascii="Arial" w:hAnsi="Arial" w:cs="Arial"/>
                <w:sz w:val="20"/>
                <w:szCs w:val="20"/>
              </w:rPr>
            </w:pPr>
            <w:r>
              <w:rPr>
                <w:rFonts w:ascii="Arial" w:hAnsi="Arial" w:cs="Arial"/>
                <w:sz w:val="20"/>
                <w:szCs w:val="20"/>
              </w:rPr>
              <w:t xml:space="preserve">Tacoma </w:t>
            </w:r>
            <w:r w:rsidR="00447EE4">
              <w:rPr>
                <w:rFonts w:ascii="Arial" w:hAnsi="Arial" w:cs="Arial"/>
                <w:sz w:val="20"/>
                <w:szCs w:val="20"/>
              </w:rPr>
              <w:t>Police Department data indicate</w:t>
            </w:r>
            <w:r w:rsidR="00E40E9E">
              <w:rPr>
                <w:rFonts w:ascii="Arial" w:hAnsi="Arial" w:cs="Arial"/>
                <w:sz w:val="20"/>
                <w:szCs w:val="20"/>
              </w:rPr>
              <w:t xml:space="preserve"> a significant decrease</w:t>
            </w:r>
            <w:r w:rsidR="00BA4FB4">
              <w:rPr>
                <w:rFonts w:ascii="Arial" w:hAnsi="Arial" w:cs="Arial"/>
                <w:sz w:val="20"/>
                <w:szCs w:val="20"/>
              </w:rPr>
              <w:t xml:space="preserve"> of over 50 percent</w:t>
            </w:r>
            <w:r w:rsidR="00E40E9E">
              <w:rPr>
                <w:rFonts w:ascii="Arial" w:hAnsi="Arial" w:cs="Arial"/>
                <w:sz w:val="20"/>
                <w:szCs w:val="20"/>
              </w:rPr>
              <w:t xml:space="preserve"> in calls from the year prior to the establishment of the Alcohol Impact Area to the most recent reporting period</w:t>
            </w:r>
            <w:r w:rsidR="00BA4FB4">
              <w:rPr>
                <w:rFonts w:ascii="Arial" w:hAnsi="Arial" w:cs="Arial"/>
                <w:sz w:val="20"/>
                <w:szCs w:val="20"/>
              </w:rPr>
              <w:t>. (See chart on next page.) It should be noted, however, that there was a bump in calls between September 2011 and August 2013. During the last three years the greatest decrease in calls, bringing the number back close to the 2010-2011 mark, was for “drunk in public” calls.</w:t>
            </w:r>
          </w:p>
          <w:p w:rsidR="00F55F37" w:rsidRDefault="00F55F37" w:rsidP="006D1408">
            <w:pPr>
              <w:pStyle w:val="PMOBody"/>
              <w:spacing w:before="60"/>
              <w:ind w:left="0"/>
              <w:rPr>
                <w:rFonts w:ascii="Arial" w:hAnsi="Arial" w:cs="Arial"/>
                <w:sz w:val="20"/>
                <w:szCs w:val="20"/>
              </w:rPr>
            </w:pPr>
          </w:p>
          <w:p w:rsidR="00F55F37" w:rsidRDefault="00F55F37" w:rsidP="00F55F37">
            <w:pPr>
              <w:pStyle w:val="PMOBody"/>
              <w:spacing w:before="60"/>
              <w:ind w:left="0"/>
              <w:rPr>
                <w:rFonts w:ascii="Arial" w:hAnsi="Arial" w:cs="Arial"/>
                <w:sz w:val="20"/>
                <w:szCs w:val="20"/>
              </w:rPr>
            </w:pPr>
            <w:r>
              <w:rPr>
                <w:rFonts w:ascii="Arial" w:hAnsi="Arial" w:cs="Arial"/>
                <w:sz w:val="20"/>
                <w:szCs w:val="20"/>
              </w:rPr>
              <w:t xml:space="preserve">Reports indicate that checks are being conducted at selected locations, and all businesses checked show a 100% compliance rate in not selling restricted products.    </w:t>
            </w:r>
            <w:r w:rsidRPr="00A97C42">
              <w:rPr>
                <w:rFonts w:ascii="Arial" w:hAnsi="Arial" w:cs="Arial"/>
                <w:sz w:val="20"/>
                <w:szCs w:val="20"/>
              </w:rPr>
              <w:t xml:space="preserve"> </w:t>
            </w:r>
          </w:p>
          <w:p w:rsidR="00447EE4" w:rsidRDefault="00447EE4" w:rsidP="006D1408">
            <w:pPr>
              <w:pStyle w:val="PMOBody"/>
              <w:spacing w:before="60"/>
              <w:ind w:left="0"/>
              <w:rPr>
                <w:rFonts w:ascii="Arial" w:hAnsi="Arial" w:cs="Arial"/>
                <w:sz w:val="20"/>
                <w:szCs w:val="20"/>
              </w:rPr>
            </w:pPr>
          </w:p>
          <w:p w:rsidR="00F55F37" w:rsidRDefault="00447EE4" w:rsidP="006D1408">
            <w:pPr>
              <w:pStyle w:val="PMOBody"/>
              <w:spacing w:before="60"/>
              <w:ind w:left="0"/>
              <w:rPr>
                <w:rFonts w:ascii="Arial" w:hAnsi="Arial" w:cs="Arial"/>
                <w:sz w:val="20"/>
                <w:szCs w:val="20"/>
              </w:rPr>
            </w:pPr>
            <w:r>
              <w:rPr>
                <w:rFonts w:ascii="Arial" w:hAnsi="Arial" w:cs="Arial"/>
                <w:sz w:val="20"/>
                <w:szCs w:val="20"/>
              </w:rPr>
              <w:t>Annual data from the Tacoma Fire Department</w:t>
            </w:r>
            <w:r w:rsidR="00527DDD">
              <w:rPr>
                <w:rFonts w:ascii="Arial" w:hAnsi="Arial" w:cs="Arial"/>
                <w:sz w:val="20"/>
                <w:szCs w:val="20"/>
              </w:rPr>
              <w:t xml:space="preserve"> (January-December) for calls for service</w:t>
            </w:r>
            <w:r w:rsidR="00BA4FB4">
              <w:rPr>
                <w:rFonts w:ascii="Arial" w:hAnsi="Arial" w:cs="Arial"/>
                <w:sz w:val="20"/>
                <w:szCs w:val="20"/>
              </w:rPr>
              <w:t xml:space="preserve"> represent alcohol- and/or drug-related incidents requiring Tacoma Fire Department intervention, i.e. medical aid.</w:t>
            </w:r>
            <w:r w:rsidR="00527DDD">
              <w:rPr>
                <w:rFonts w:ascii="Arial" w:hAnsi="Arial" w:cs="Arial"/>
                <w:sz w:val="20"/>
                <w:szCs w:val="20"/>
              </w:rPr>
              <w:t xml:space="preserve"> </w:t>
            </w:r>
            <w:r w:rsidR="00F55F37">
              <w:rPr>
                <w:rFonts w:ascii="Arial" w:hAnsi="Arial" w:cs="Arial"/>
                <w:sz w:val="20"/>
                <w:szCs w:val="20"/>
              </w:rPr>
              <w:t>The calls for service are down over the la</w:t>
            </w:r>
            <w:r w:rsidR="007D6064">
              <w:rPr>
                <w:rFonts w:ascii="Arial" w:hAnsi="Arial" w:cs="Arial"/>
                <w:sz w:val="20"/>
                <w:szCs w:val="20"/>
              </w:rPr>
              <w:t>st seven years by a total of 29 percent</w:t>
            </w:r>
            <w:bookmarkStart w:id="0" w:name="_GoBack"/>
            <w:bookmarkEnd w:id="0"/>
            <w:r w:rsidR="00F55F37">
              <w:rPr>
                <w:rFonts w:ascii="Arial" w:hAnsi="Arial" w:cs="Arial"/>
                <w:sz w:val="20"/>
                <w:szCs w:val="20"/>
              </w:rPr>
              <w:t>. The last three years have shown a leveling off of calls.</w:t>
            </w:r>
          </w:p>
          <w:p w:rsidR="00F55F37" w:rsidRDefault="00F55F37" w:rsidP="006D1408">
            <w:pPr>
              <w:pStyle w:val="PMOBody"/>
              <w:spacing w:before="60"/>
              <w:ind w:left="0"/>
              <w:rPr>
                <w:rFonts w:ascii="Arial" w:hAnsi="Arial" w:cs="Arial"/>
                <w:sz w:val="20"/>
                <w:szCs w:val="20"/>
              </w:rPr>
            </w:pPr>
          </w:p>
          <w:p w:rsidR="00F55F37" w:rsidRPr="00A97C42" w:rsidRDefault="00F55F37" w:rsidP="006D1408">
            <w:pPr>
              <w:pStyle w:val="PMOBody"/>
              <w:spacing w:before="60"/>
              <w:ind w:left="0"/>
              <w:rPr>
                <w:rFonts w:ascii="Arial" w:hAnsi="Arial" w:cs="Arial"/>
                <w:sz w:val="20"/>
                <w:szCs w:val="20"/>
              </w:rPr>
            </w:pPr>
            <w:r>
              <w:rPr>
                <w:rFonts w:ascii="Arial" w:hAnsi="Arial" w:cs="Arial"/>
                <w:sz w:val="20"/>
                <w:szCs w:val="20"/>
              </w:rPr>
              <w:t>It is important to note that Pierce County’s only public assistance methadone clinic is located within the Lincoln Alcohol Impact Area. This clinic, overseen by the Federal Drug Enforcement Agency (DEA) and managed by the Tacoma-Pierce County Health Department, serves approximately 500-600 clients per day.</w:t>
            </w:r>
          </w:p>
        </w:tc>
      </w:tr>
    </w:tbl>
    <w:p w:rsidR="00A16679" w:rsidRDefault="00A16679"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p w:rsidR="00A16679" w:rsidRDefault="00E40E9E" w:rsidP="00A16679">
      <w:pPr>
        <w:pStyle w:val="PMOBody"/>
        <w:spacing w:before="60"/>
        <w:rPr>
          <w:rFonts w:ascii="Arial" w:hAnsi="Arial" w:cs="Arial"/>
          <w:sz w:val="20"/>
          <w:szCs w:val="20"/>
        </w:rPr>
      </w:pPr>
      <w:r>
        <w:rPr>
          <w:noProof/>
        </w:rPr>
        <w:drawing>
          <wp:inline distT="0" distB="0" distL="0" distR="0" wp14:anchorId="45150C2D" wp14:editId="5380EF3E">
            <wp:extent cx="5429250" cy="3652837"/>
            <wp:effectExtent l="0" t="0" r="19050"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16679" w:rsidRDefault="00A16679"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p w:rsidR="00E40E9E" w:rsidRDefault="00E40E9E" w:rsidP="00A16679">
      <w:pPr>
        <w:pStyle w:val="PMOBody"/>
        <w:spacing w:before="60"/>
        <w:rPr>
          <w:rFonts w:ascii="Arial" w:hAnsi="Arial" w:cs="Arial"/>
          <w:sz w:val="20"/>
          <w:szCs w:val="20"/>
        </w:rPr>
      </w:pPr>
      <w:r>
        <w:rPr>
          <w:noProof/>
        </w:rPr>
        <w:drawing>
          <wp:inline distT="0" distB="0" distL="0" distR="0" wp14:anchorId="2CE997F5" wp14:editId="187758D0">
            <wp:extent cx="5476875" cy="33813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16679" w:rsidRDefault="00A16679" w:rsidP="00A16679">
      <w:pPr>
        <w:pStyle w:val="PMOBody"/>
        <w:spacing w:before="60"/>
        <w:rPr>
          <w:rFonts w:ascii="Arial" w:hAnsi="Arial" w:cs="Arial"/>
          <w:sz w:val="20"/>
          <w:szCs w:val="20"/>
        </w:rPr>
      </w:pPr>
    </w:p>
    <w:p w:rsidR="00A16679" w:rsidRDefault="00A16679"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p w:rsidR="007D6064" w:rsidRDefault="007D6064" w:rsidP="00A16679">
      <w:pPr>
        <w:pStyle w:val="PMOBody"/>
        <w:spacing w:before="60"/>
        <w:rPr>
          <w:rFonts w:ascii="Arial" w:hAnsi="Arial" w:cs="Arial"/>
          <w:sz w:val="20"/>
          <w:szCs w:val="20"/>
        </w:rPr>
      </w:pPr>
    </w:p>
    <w:tbl>
      <w:tblPr>
        <w:tblW w:w="0" w:type="auto"/>
        <w:tblInd w:w="720" w:type="dxa"/>
        <w:tblLook w:val="04A0" w:firstRow="1" w:lastRow="0" w:firstColumn="1" w:lastColumn="0" w:noHBand="0" w:noVBand="1"/>
      </w:tblPr>
      <w:tblGrid>
        <w:gridCol w:w="9576"/>
      </w:tblGrid>
      <w:tr w:rsidR="00A16679" w:rsidRPr="00A97C42" w:rsidTr="00BD4515">
        <w:tc>
          <w:tcPr>
            <w:tcW w:w="9576" w:type="dxa"/>
          </w:tcPr>
          <w:p w:rsidR="00A16679" w:rsidRDefault="00F55F37" w:rsidP="00BD4515">
            <w:pPr>
              <w:pStyle w:val="PMOBody"/>
              <w:spacing w:before="60"/>
              <w:ind w:left="0"/>
              <w:rPr>
                <w:rFonts w:ascii="Arial" w:hAnsi="Arial" w:cs="Arial"/>
                <w:sz w:val="20"/>
                <w:szCs w:val="20"/>
              </w:rPr>
            </w:pPr>
            <w:r>
              <w:rPr>
                <w:rFonts w:ascii="Arial" w:hAnsi="Arial" w:cs="Arial"/>
                <w:sz w:val="20"/>
                <w:szCs w:val="20"/>
              </w:rPr>
              <w:t xml:space="preserve">Bob </w:t>
            </w:r>
            <w:proofErr w:type="spellStart"/>
            <w:r>
              <w:rPr>
                <w:rFonts w:ascii="Arial" w:hAnsi="Arial" w:cs="Arial"/>
                <w:sz w:val="20"/>
                <w:szCs w:val="20"/>
              </w:rPr>
              <w:t>McCutchan</w:t>
            </w:r>
            <w:proofErr w:type="spellEnd"/>
            <w:r>
              <w:rPr>
                <w:rFonts w:ascii="Arial" w:hAnsi="Arial" w:cs="Arial"/>
                <w:sz w:val="20"/>
                <w:szCs w:val="20"/>
              </w:rPr>
              <w:t xml:space="preserve">, a local community representative who has been involved with the Alcohol Impact Area since its inception, </w:t>
            </w:r>
            <w:r w:rsidR="00D11966">
              <w:rPr>
                <w:rFonts w:ascii="Arial" w:hAnsi="Arial" w:cs="Arial"/>
                <w:sz w:val="20"/>
                <w:szCs w:val="20"/>
              </w:rPr>
              <w:t xml:space="preserve">provided comment supporting the continuance of the Alcohol Impact area designation. Mr. </w:t>
            </w:r>
            <w:proofErr w:type="spellStart"/>
            <w:r w:rsidR="00D11966">
              <w:rPr>
                <w:rFonts w:ascii="Arial" w:hAnsi="Arial" w:cs="Arial"/>
                <w:sz w:val="20"/>
                <w:szCs w:val="20"/>
              </w:rPr>
              <w:t>McCutchan</w:t>
            </w:r>
            <w:proofErr w:type="spellEnd"/>
            <w:r w:rsidR="00D11966">
              <w:rPr>
                <w:rFonts w:ascii="Arial" w:hAnsi="Arial" w:cs="Arial"/>
                <w:sz w:val="20"/>
                <w:szCs w:val="20"/>
              </w:rPr>
              <w:t xml:space="preserve">, cited the decrease in police and fire calls, which save taxpayers thousands of dollars, and the positive comments received from community members and area businesses, as important factors for consideration. He also noted an uptick in Chronic Public Inebriant activities after the privatization of alcohol, specifying pint-size containers of cheap vodka and witnessing the sharing of contents of the larger spirit containers. </w:t>
            </w:r>
          </w:p>
          <w:p w:rsidR="00A16679" w:rsidRPr="00A97C42" w:rsidRDefault="00A16679" w:rsidP="00BD4515">
            <w:pPr>
              <w:pStyle w:val="PMOBody"/>
              <w:spacing w:before="60"/>
              <w:ind w:left="0"/>
              <w:rPr>
                <w:rFonts w:ascii="Arial" w:hAnsi="Arial" w:cs="Arial"/>
                <w:sz w:val="20"/>
                <w:szCs w:val="20"/>
              </w:rPr>
            </w:pPr>
          </w:p>
        </w:tc>
      </w:tr>
    </w:tbl>
    <w:p w:rsidR="00A16679" w:rsidRPr="000A4971" w:rsidRDefault="00A16679" w:rsidP="00A16679">
      <w:pPr>
        <w:pStyle w:val="PMOBody"/>
        <w:spacing w:before="60"/>
        <w:rPr>
          <w:rFonts w:ascii="Arial" w:hAnsi="Arial" w:cs="Arial"/>
          <w:sz w:val="20"/>
          <w:szCs w:val="20"/>
        </w:rPr>
      </w:pPr>
    </w:p>
    <w:p w:rsidR="00A16679" w:rsidRPr="000A4971" w:rsidRDefault="00A16679" w:rsidP="00A16679">
      <w:pPr>
        <w:pStyle w:val="PMOHeading2"/>
        <w:spacing w:before="60"/>
        <w:rPr>
          <w:rFonts w:ascii="Arial" w:hAnsi="Arial" w:cs="Arial"/>
          <w:sz w:val="20"/>
        </w:rPr>
      </w:pPr>
      <w:r>
        <w:rPr>
          <w:rFonts w:ascii="Arial" w:hAnsi="Arial" w:cs="Arial"/>
          <w:sz w:val="20"/>
        </w:rPr>
        <w:t>Summary</w:t>
      </w:r>
    </w:p>
    <w:p w:rsidR="00A16679" w:rsidRPr="000A4971" w:rsidRDefault="00A16679" w:rsidP="00A16679">
      <w:pPr>
        <w:pStyle w:val="PMOHeading2"/>
        <w:spacing w:before="60"/>
        <w:ind w:left="0"/>
        <w:rPr>
          <w:rFonts w:ascii="Arial" w:hAnsi="Arial" w:cs="Arial"/>
          <w:sz w:val="20"/>
        </w:rPr>
      </w:pPr>
    </w:p>
    <w:tbl>
      <w:tblPr>
        <w:tblW w:w="0" w:type="auto"/>
        <w:tblInd w:w="720" w:type="dxa"/>
        <w:tblLook w:val="04A0" w:firstRow="1" w:lastRow="0" w:firstColumn="1" w:lastColumn="0" w:noHBand="0" w:noVBand="1"/>
      </w:tblPr>
      <w:tblGrid>
        <w:gridCol w:w="9576"/>
      </w:tblGrid>
      <w:tr w:rsidR="00A16679" w:rsidRPr="00A97C42" w:rsidTr="00BD4515">
        <w:tc>
          <w:tcPr>
            <w:tcW w:w="9576" w:type="dxa"/>
          </w:tcPr>
          <w:p w:rsidR="00A16679" w:rsidRPr="00A97C42" w:rsidRDefault="00A16679" w:rsidP="007D6064">
            <w:pPr>
              <w:pStyle w:val="PMOHeading2"/>
              <w:spacing w:before="60"/>
              <w:ind w:left="0"/>
              <w:rPr>
                <w:rFonts w:ascii="Arial" w:hAnsi="Arial" w:cs="Arial"/>
                <w:b w:val="0"/>
                <w:sz w:val="20"/>
              </w:rPr>
            </w:pPr>
            <w:r>
              <w:rPr>
                <w:rFonts w:ascii="Arial" w:hAnsi="Arial" w:cs="Arial"/>
                <w:b w:val="0"/>
                <w:sz w:val="20"/>
              </w:rPr>
              <w:t xml:space="preserve">The Alcohol Impact Area designation for the </w:t>
            </w:r>
            <w:r w:rsidR="007D6064">
              <w:rPr>
                <w:rFonts w:ascii="Arial" w:hAnsi="Arial" w:cs="Arial"/>
                <w:b w:val="0"/>
                <w:sz w:val="20"/>
              </w:rPr>
              <w:t>Tacoma Lincoln area</w:t>
            </w:r>
            <w:r>
              <w:rPr>
                <w:rFonts w:ascii="Arial" w:hAnsi="Arial" w:cs="Arial"/>
                <w:b w:val="0"/>
                <w:sz w:val="20"/>
              </w:rPr>
              <w:t xml:space="preserve"> continues to show positive results and community support. </w:t>
            </w:r>
            <w:r w:rsidR="007D6064">
              <w:rPr>
                <w:rFonts w:ascii="Arial" w:hAnsi="Arial" w:cs="Arial"/>
                <w:b w:val="0"/>
                <w:sz w:val="20"/>
              </w:rPr>
              <w:t>The Tacoma Police Department, the Tacoma Fire Department, eastside community groups, and concerned citizens remain committed to the project and continue to support the program.</w:t>
            </w:r>
          </w:p>
        </w:tc>
      </w:tr>
    </w:tbl>
    <w:p w:rsidR="00A16679" w:rsidRPr="00C04D7D" w:rsidRDefault="00A16679" w:rsidP="00A16679">
      <w:pPr>
        <w:pStyle w:val="PMOHeading2"/>
        <w:spacing w:before="60"/>
        <w:rPr>
          <w:rFonts w:ascii="Arial" w:hAnsi="Arial" w:cs="Arial"/>
          <w:b w:val="0"/>
          <w:sz w:val="16"/>
          <w:szCs w:val="16"/>
        </w:rPr>
      </w:pPr>
    </w:p>
    <w:p w:rsidR="00F505B0" w:rsidRDefault="00F505B0"/>
    <w:sectPr w:rsidR="00F505B0" w:rsidSect="00344A63">
      <w:headerReference w:type="default" r:id="rId9"/>
      <w:foot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6FFB">
      <w:r>
        <w:separator/>
      </w:r>
    </w:p>
  </w:endnote>
  <w:endnote w:type="continuationSeparator" w:id="0">
    <w:p w:rsidR="00000000" w:rsidRDefault="00F9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CDD" w:rsidRDefault="008616EF">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F96FFB" w:rsidRPr="00F96FFB">
      <w:rPr>
        <w:rFonts w:asciiTheme="majorHAnsi" w:hAnsiTheme="majorHAnsi"/>
        <w:noProof/>
      </w:rPr>
      <w:t>1</w:t>
    </w:r>
    <w:r>
      <w:rPr>
        <w:rFonts w:asciiTheme="majorHAnsi" w:hAnsiTheme="majorHAnsi"/>
        <w:noProof/>
      </w:rPr>
      <w:fldChar w:fldCharType="end"/>
    </w:r>
  </w:p>
  <w:p w:rsidR="001E4CDD" w:rsidRDefault="00F96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6FFB">
      <w:r>
        <w:separator/>
      </w:r>
    </w:p>
  </w:footnote>
  <w:footnote w:type="continuationSeparator" w:id="0">
    <w:p w:rsidR="00000000" w:rsidRDefault="00F96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jc w:val="center"/>
      <w:tblLook w:val="04A0" w:firstRow="1" w:lastRow="0" w:firstColumn="1" w:lastColumn="0" w:noHBand="0" w:noVBand="1"/>
    </w:tblPr>
    <w:tblGrid>
      <w:gridCol w:w="5868"/>
      <w:gridCol w:w="3690"/>
    </w:tblGrid>
    <w:tr w:rsidR="001E4CDD" w:rsidRPr="005801CD" w:rsidTr="000A2C89">
      <w:trPr>
        <w:jc w:val="center"/>
      </w:trPr>
      <w:tc>
        <w:tcPr>
          <w:tcW w:w="5868" w:type="dxa"/>
          <w:vAlign w:val="center"/>
        </w:tcPr>
        <w:p w:rsidR="001E4CDD" w:rsidRPr="00B62EDF" w:rsidRDefault="008616EF" w:rsidP="004038BA">
          <w:pPr>
            <w:pStyle w:val="Header"/>
          </w:pPr>
          <w:r>
            <w:rPr>
              <w:i/>
              <w:noProof/>
            </w:rPr>
            <w:drawing>
              <wp:inline distT="0" distB="0" distL="0" distR="0" wp14:anchorId="049C54A5" wp14:editId="7C67E43A">
                <wp:extent cx="2328545" cy="425450"/>
                <wp:effectExtent l="19050" t="0" r="0" b="0"/>
                <wp:docPr id="3" name="Picture 1" descr="new logo-bw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bw_3"/>
                        <pic:cNvPicPr>
                          <a:picLocks noChangeAspect="1" noChangeArrowheads="1"/>
                        </pic:cNvPicPr>
                      </pic:nvPicPr>
                      <pic:blipFill>
                        <a:blip r:embed="rId1"/>
                        <a:srcRect/>
                        <a:stretch>
                          <a:fillRect/>
                        </a:stretch>
                      </pic:blipFill>
                      <pic:spPr bwMode="auto">
                        <a:xfrm>
                          <a:off x="0" y="0"/>
                          <a:ext cx="2328545" cy="425450"/>
                        </a:xfrm>
                        <a:prstGeom prst="rect">
                          <a:avLst/>
                        </a:prstGeom>
                        <a:noFill/>
                        <a:ln w="9525">
                          <a:noFill/>
                          <a:miter lim="800000"/>
                          <a:headEnd/>
                          <a:tailEnd/>
                        </a:ln>
                      </pic:spPr>
                    </pic:pic>
                  </a:graphicData>
                </a:graphic>
              </wp:inline>
            </w:drawing>
          </w:r>
        </w:p>
      </w:tc>
      <w:tc>
        <w:tcPr>
          <w:tcW w:w="3690" w:type="dxa"/>
          <w:vAlign w:val="bottom"/>
        </w:tcPr>
        <w:p w:rsidR="001E4CDD" w:rsidRPr="005801CD" w:rsidRDefault="008616EF" w:rsidP="005801CD">
          <w:pPr>
            <w:pStyle w:val="Header"/>
            <w:tabs>
              <w:tab w:val="clear" w:pos="4320"/>
              <w:tab w:val="center" w:pos="4212"/>
            </w:tabs>
            <w:jc w:val="right"/>
            <w:rPr>
              <w:rFonts w:ascii="Calibri" w:hAnsi="Calibri"/>
              <w:b/>
              <w:sz w:val="28"/>
              <w:szCs w:val="28"/>
            </w:rPr>
          </w:pPr>
          <w:r>
            <w:rPr>
              <w:rFonts w:ascii="Calibri" w:hAnsi="Calibri"/>
              <w:b/>
              <w:sz w:val="28"/>
              <w:szCs w:val="28"/>
            </w:rPr>
            <w:t>Report to the Board</w:t>
          </w:r>
        </w:p>
      </w:tc>
    </w:tr>
  </w:tbl>
  <w:p w:rsidR="001E4CDD" w:rsidRDefault="00F96F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79"/>
    <w:rsid w:val="00401C25"/>
    <w:rsid w:val="00447EE4"/>
    <w:rsid w:val="004820F9"/>
    <w:rsid w:val="00527DDD"/>
    <w:rsid w:val="006D1408"/>
    <w:rsid w:val="007D6064"/>
    <w:rsid w:val="008616EF"/>
    <w:rsid w:val="00895F9D"/>
    <w:rsid w:val="00A16679"/>
    <w:rsid w:val="00AF0270"/>
    <w:rsid w:val="00BA4FB4"/>
    <w:rsid w:val="00D11966"/>
    <w:rsid w:val="00E40E9E"/>
    <w:rsid w:val="00F505B0"/>
    <w:rsid w:val="00F55F37"/>
    <w:rsid w:val="00F9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679"/>
    <w:rPr>
      <w:rFonts w:ascii="Arial" w:eastAsia="Times New Roman" w:hAnsi="Arial" w:cs="Times New Roman"/>
      <w:sz w:val="20"/>
      <w:szCs w:val="24"/>
    </w:rPr>
  </w:style>
  <w:style w:type="paragraph" w:styleId="Heading2">
    <w:name w:val="heading 2"/>
    <w:basedOn w:val="Normal"/>
    <w:next w:val="Normal"/>
    <w:link w:val="Heading2Char"/>
    <w:uiPriority w:val="9"/>
    <w:semiHidden/>
    <w:unhideWhenUsed/>
    <w:qFormat/>
    <w:rsid w:val="00A166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MOBody">
    <w:name w:val="PMO Body"/>
    <w:basedOn w:val="Normal"/>
    <w:rsid w:val="00A16679"/>
    <w:pPr>
      <w:ind w:left="720"/>
    </w:pPr>
    <w:rPr>
      <w:rFonts w:ascii="Times New Roman" w:hAnsi="Times New Roman"/>
      <w:sz w:val="24"/>
    </w:rPr>
  </w:style>
  <w:style w:type="paragraph" w:customStyle="1" w:styleId="PMOHeading2">
    <w:name w:val="PMO Heading 2"/>
    <w:basedOn w:val="Heading2"/>
    <w:rsid w:val="00A16679"/>
    <w:pPr>
      <w:keepLines w:val="0"/>
      <w:spacing w:before="0"/>
      <w:ind w:left="720"/>
    </w:pPr>
    <w:rPr>
      <w:rFonts w:ascii="Times New Roman" w:eastAsia="Times New Roman" w:hAnsi="Times New Roman" w:cs="Times New Roman"/>
      <w:bCs w:val="0"/>
      <w:color w:val="auto"/>
      <w:sz w:val="24"/>
      <w:szCs w:val="20"/>
    </w:rPr>
  </w:style>
  <w:style w:type="character" w:customStyle="1" w:styleId="Heading2Char">
    <w:name w:val="Heading 2 Char"/>
    <w:basedOn w:val="DefaultParagraphFont"/>
    <w:link w:val="Heading2"/>
    <w:uiPriority w:val="9"/>
    <w:semiHidden/>
    <w:rsid w:val="00A1667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rsid w:val="00A16679"/>
    <w:pPr>
      <w:tabs>
        <w:tab w:val="center" w:pos="4320"/>
        <w:tab w:val="right" w:pos="8640"/>
      </w:tabs>
    </w:pPr>
  </w:style>
  <w:style w:type="character" w:customStyle="1" w:styleId="HeaderChar">
    <w:name w:val="Header Char"/>
    <w:basedOn w:val="DefaultParagraphFont"/>
    <w:link w:val="Header"/>
    <w:uiPriority w:val="99"/>
    <w:rsid w:val="00A16679"/>
    <w:rPr>
      <w:rFonts w:ascii="Arial" w:eastAsia="Times New Roman" w:hAnsi="Arial" w:cs="Times New Roman"/>
      <w:sz w:val="20"/>
      <w:szCs w:val="24"/>
    </w:rPr>
  </w:style>
  <w:style w:type="paragraph" w:styleId="Footer">
    <w:name w:val="footer"/>
    <w:basedOn w:val="Normal"/>
    <w:link w:val="FooterChar"/>
    <w:uiPriority w:val="99"/>
    <w:rsid w:val="00A16679"/>
    <w:pPr>
      <w:tabs>
        <w:tab w:val="center" w:pos="4320"/>
        <w:tab w:val="right" w:pos="8640"/>
      </w:tabs>
    </w:pPr>
  </w:style>
  <w:style w:type="character" w:customStyle="1" w:styleId="FooterChar">
    <w:name w:val="Footer Char"/>
    <w:basedOn w:val="DefaultParagraphFont"/>
    <w:link w:val="Footer"/>
    <w:uiPriority w:val="99"/>
    <w:rsid w:val="00A16679"/>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A16679"/>
    <w:rPr>
      <w:rFonts w:ascii="Tahoma" w:hAnsi="Tahoma" w:cs="Tahoma"/>
      <w:sz w:val="16"/>
      <w:szCs w:val="16"/>
    </w:rPr>
  </w:style>
  <w:style w:type="character" w:customStyle="1" w:styleId="BalloonTextChar">
    <w:name w:val="Balloon Text Char"/>
    <w:basedOn w:val="DefaultParagraphFont"/>
    <w:link w:val="BalloonText"/>
    <w:uiPriority w:val="99"/>
    <w:semiHidden/>
    <w:rsid w:val="00A1667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679"/>
    <w:rPr>
      <w:rFonts w:ascii="Arial" w:eastAsia="Times New Roman" w:hAnsi="Arial" w:cs="Times New Roman"/>
      <w:sz w:val="20"/>
      <w:szCs w:val="24"/>
    </w:rPr>
  </w:style>
  <w:style w:type="paragraph" w:styleId="Heading2">
    <w:name w:val="heading 2"/>
    <w:basedOn w:val="Normal"/>
    <w:next w:val="Normal"/>
    <w:link w:val="Heading2Char"/>
    <w:uiPriority w:val="9"/>
    <w:semiHidden/>
    <w:unhideWhenUsed/>
    <w:qFormat/>
    <w:rsid w:val="00A166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MOBody">
    <w:name w:val="PMO Body"/>
    <w:basedOn w:val="Normal"/>
    <w:rsid w:val="00A16679"/>
    <w:pPr>
      <w:ind w:left="720"/>
    </w:pPr>
    <w:rPr>
      <w:rFonts w:ascii="Times New Roman" w:hAnsi="Times New Roman"/>
      <w:sz w:val="24"/>
    </w:rPr>
  </w:style>
  <w:style w:type="paragraph" w:customStyle="1" w:styleId="PMOHeading2">
    <w:name w:val="PMO Heading 2"/>
    <w:basedOn w:val="Heading2"/>
    <w:rsid w:val="00A16679"/>
    <w:pPr>
      <w:keepLines w:val="0"/>
      <w:spacing w:before="0"/>
      <w:ind w:left="720"/>
    </w:pPr>
    <w:rPr>
      <w:rFonts w:ascii="Times New Roman" w:eastAsia="Times New Roman" w:hAnsi="Times New Roman" w:cs="Times New Roman"/>
      <w:bCs w:val="0"/>
      <w:color w:val="auto"/>
      <w:sz w:val="24"/>
      <w:szCs w:val="20"/>
    </w:rPr>
  </w:style>
  <w:style w:type="character" w:customStyle="1" w:styleId="Heading2Char">
    <w:name w:val="Heading 2 Char"/>
    <w:basedOn w:val="DefaultParagraphFont"/>
    <w:link w:val="Heading2"/>
    <w:uiPriority w:val="9"/>
    <w:semiHidden/>
    <w:rsid w:val="00A1667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rsid w:val="00A16679"/>
    <w:pPr>
      <w:tabs>
        <w:tab w:val="center" w:pos="4320"/>
        <w:tab w:val="right" w:pos="8640"/>
      </w:tabs>
    </w:pPr>
  </w:style>
  <w:style w:type="character" w:customStyle="1" w:styleId="HeaderChar">
    <w:name w:val="Header Char"/>
    <w:basedOn w:val="DefaultParagraphFont"/>
    <w:link w:val="Header"/>
    <w:uiPriority w:val="99"/>
    <w:rsid w:val="00A16679"/>
    <w:rPr>
      <w:rFonts w:ascii="Arial" w:eastAsia="Times New Roman" w:hAnsi="Arial" w:cs="Times New Roman"/>
      <w:sz w:val="20"/>
      <w:szCs w:val="24"/>
    </w:rPr>
  </w:style>
  <w:style w:type="paragraph" w:styleId="Footer">
    <w:name w:val="footer"/>
    <w:basedOn w:val="Normal"/>
    <w:link w:val="FooterChar"/>
    <w:uiPriority w:val="99"/>
    <w:rsid w:val="00A16679"/>
    <w:pPr>
      <w:tabs>
        <w:tab w:val="center" w:pos="4320"/>
        <w:tab w:val="right" w:pos="8640"/>
      </w:tabs>
    </w:pPr>
  </w:style>
  <w:style w:type="character" w:customStyle="1" w:styleId="FooterChar">
    <w:name w:val="Footer Char"/>
    <w:basedOn w:val="DefaultParagraphFont"/>
    <w:link w:val="Footer"/>
    <w:uiPriority w:val="99"/>
    <w:rsid w:val="00A16679"/>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A16679"/>
    <w:rPr>
      <w:rFonts w:ascii="Tahoma" w:hAnsi="Tahoma" w:cs="Tahoma"/>
      <w:sz w:val="16"/>
      <w:szCs w:val="16"/>
    </w:rPr>
  </w:style>
  <w:style w:type="character" w:customStyle="1" w:styleId="BalloonTextChar">
    <w:name w:val="Balloon Text Char"/>
    <w:basedOn w:val="DefaultParagraphFont"/>
    <w:link w:val="BalloonText"/>
    <w:uiPriority w:val="99"/>
    <w:semiHidden/>
    <w:rsid w:val="00A1667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Enforcement Calls </a:t>
            </a:r>
          </a:p>
        </c:rich>
      </c:tx>
      <c:layout/>
      <c:overlay val="0"/>
    </c:title>
    <c:autoTitleDeleted val="0"/>
    <c:plotArea>
      <c:layout/>
      <c:barChart>
        <c:barDir val="col"/>
        <c:grouping val="clustered"/>
        <c:varyColors val="0"/>
        <c:ser>
          <c:idx val="0"/>
          <c:order val="0"/>
          <c:tx>
            <c:strRef>
              <c:f>Sheet1!$B$8</c:f>
              <c:strCache>
                <c:ptCount val="1"/>
                <c:pt idx="0">
                  <c:v>Total</c:v>
                </c:pt>
              </c:strCache>
            </c:strRef>
          </c:tx>
          <c:invertIfNegative val="0"/>
          <c:dLbls>
            <c:showLegendKey val="0"/>
            <c:showVal val="1"/>
            <c:showCatName val="0"/>
            <c:showSerName val="0"/>
            <c:showPercent val="0"/>
            <c:showBubbleSize val="0"/>
            <c:showLeaderLines val="0"/>
          </c:dLbls>
          <c:trendline>
            <c:trendlineType val="log"/>
            <c:dispRSqr val="0"/>
            <c:dispEq val="0"/>
          </c:trendline>
          <c:cat>
            <c:strRef>
              <c:f>Sheet1!$A$9:$A$15</c:f>
              <c:strCache>
                <c:ptCount val="7"/>
                <c:pt idx="0">
                  <c:v>9/2007-8/2008</c:v>
                </c:pt>
                <c:pt idx="1">
                  <c:v>9/2008-8-2009</c:v>
                </c:pt>
                <c:pt idx="2">
                  <c:v>9/2009-8/2010</c:v>
                </c:pt>
                <c:pt idx="3">
                  <c:v>9/2010-8/2011</c:v>
                </c:pt>
                <c:pt idx="4">
                  <c:v>9/2011-8/2012</c:v>
                </c:pt>
                <c:pt idx="5">
                  <c:v>9/2012-8/2013</c:v>
                </c:pt>
                <c:pt idx="6">
                  <c:v>9/1/2013-8/2014</c:v>
                </c:pt>
              </c:strCache>
            </c:strRef>
          </c:cat>
          <c:val>
            <c:numRef>
              <c:f>Sheet1!$B$9:$B$15</c:f>
              <c:numCache>
                <c:formatCode>General</c:formatCode>
                <c:ptCount val="7"/>
                <c:pt idx="0">
                  <c:v>258</c:v>
                </c:pt>
                <c:pt idx="1">
                  <c:v>178</c:v>
                </c:pt>
                <c:pt idx="2">
                  <c:v>133</c:v>
                </c:pt>
                <c:pt idx="3">
                  <c:v>112</c:v>
                </c:pt>
                <c:pt idx="4">
                  <c:v>181</c:v>
                </c:pt>
                <c:pt idx="5">
                  <c:v>173</c:v>
                </c:pt>
                <c:pt idx="6">
                  <c:v>115</c:v>
                </c:pt>
              </c:numCache>
            </c:numRef>
          </c:val>
        </c:ser>
        <c:dLbls>
          <c:showLegendKey val="0"/>
          <c:showVal val="0"/>
          <c:showCatName val="0"/>
          <c:showSerName val="0"/>
          <c:showPercent val="0"/>
          <c:showBubbleSize val="0"/>
        </c:dLbls>
        <c:gapWidth val="150"/>
        <c:axId val="170582016"/>
        <c:axId val="170583552"/>
      </c:barChart>
      <c:catAx>
        <c:axId val="170582016"/>
        <c:scaling>
          <c:orientation val="minMax"/>
        </c:scaling>
        <c:delete val="0"/>
        <c:axPos val="b"/>
        <c:majorTickMark val="out"/>
        <c:minorTickMark val="none"/>
        <c:tickLblPos val="nextTo"/>
        <c:crossAx val="170583552"/>
        <c:crosses val="autoZero"/>
        <c:auto val="1"/>
        <c:lblAlgn val="ctr"/>
        <c:lblOffset val="100"/>
        <c:noMultiLvlLbl val="0"/>
      </c:catAx>
      <c:valAx>
        <c:axId val="170583552"/>
        <c:scaling>
          <c:orientation val="minMax"/>
        </c:scaling>
        <c:delete val="0"/>
        <c:axPos val="l"/>
        <c:majorGridlines/>
        <c:numFmt formatCode="General" sourceLinked="1"/>
        <c:majorTickMark val="out"/>
        <c:minorTickMark val="none"/>
        <c:tickLblPos val="nextTo"/>
        <c:crossAx val="1705820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Fire</a:t>
            </a:r>
            <a:r>
              <a:rPr lang="en-US" baseline="0"/>
              <a:t> Department</a:t>
            </a:r>
            <a:endParaRPr lang="en-US"/>
          </a:p>
        </c:rich>
      </c:tx>
      <c:layout/>
      <c:overlay val="0"/>
    </c:title>
    <c:autoTitleDeleted val="0"/>
    <c:plotArea>
      <c:layout/>
      <c:barChart>
        <c:barDir val="col"/>
        <c:grouping val="clustered"/>
        <c:varyColors val="0"/>
        <c:ser>
          <c:idx val="0"/>
          <c:order val="0"/>
          <c:tx>
            <c:strRef>
              <c:f>Sheet1!$C$75</c:f>
              <c:strCache>
                <c:ptCount val="1"/>
                <c:pt idx="0">
                  <c:v>Total calls related to alcohol consumption</c:v>
                </c:pt>
              </c:strCache>
            </c:strRef>
          </c:tx>
          <c:invertIfNegative val="0"/>
          <c:dLbls>
            <c:showLegendKey val="0"/>
            <c:showVal val="1"/>
            <c:showCatName val="0"/>
            <c:showSerName val="0"/>
            <c:showPercent val="0"/>
            <c:showBubbleSize val="0"/>
            <c:showLeaderLines val="0"/>
          </c:dLbls>
          <c:trendline>
            <c:trendlineType val="linear"/>
            <c:dispRSqr val="0"/>
            <c:dispEq val="0"/>
          </c:trendline>
          <c:cat>
            <c:numRef>
              <c:f>Sheet1!$D$74:$J$74</c:f>
              <c:numCache>
                <c:formatCode>General</c:formatCode>
                <c:ptCount val="7"/>
                <c:pt idx="0">
                  <c:v>2008</c:v>
                </c:pt>
                <c:pt idx="1">
                  <c:v>2009</c:v>
                </c:pt>
                <c:pt idx="2">
                  <c:v>2010</c:v>
                </c:pt>
                <c:pt idx="3">
                  <c:v>2011</c:v>
                </c:pt>
                <c:pt idx="4">
                  <c:v>2012</c:v>
                </c:pt>
                <c:pt idx="5">
                  <c:v>2013</c:v>
                </c:pt>
                <c:pt idx="6">
                  <c:v>2014</c:v>
                </c:pt>
              </c:numCache>
            </c:numRef>
          </c:cat>
          <c:val>
            <c:numRef>
              <c:f>Sheet1!$D$75:$J$75</c:f>
              <c:numCache>
                <c:formatCode>General</c:formatCode>
                <c:ptCount val="7"/>
                <c:pt idx="0">
                  <c:v>333</c:v>
                </c:pt>
                <c:pt idx="1">
                  <c:v>242</c:v>
                </c:pt>
                <c:pt idx="2">
                  <c:v>189</c:v>
                </c:pt>
                <c:pt idx="3">
                  <c:v>210</c:v>
                </c:pt>
                <c:pt idx="4">
                  <c:v>229</c:v>
                </c:pt>
                <c:pt idx="5">
                  <c:v>221</c:v>
                </c:pt>
                <c:pt idx="6">
                  <c:v>235</c:v>
                </c:pt>
              </c:numCache>
            </c:numRef>
          </c:val>
        </c:ser>
        <c:dLbls>
          <c:showLegendKey val="0"/>
          <c:showVal val="0"/>
          <c:showCatName val="0"/>
          <c:showSerName val="0"/>
          <c:showPercent val="0"/>
          <c:showBubbleSize val="0"/>
        </c:dLbls>
        <c:gapWidth val="150"/>
        <c:axId val="114266496"/>
        <c:axId val="114268032"/>
      </c:barChart>
      <c:catAx>
        <c:axId val="114266496"/>
        <c:scaling>
          <c:orientation val="minMax"/>
        </c:scaling>
        <c:delete val="0"/>
        <c:axPos val="b"/>
        <c:numFmt formatCode="General" sourceLinked="1"/>
        <c:majorTickMark val="out"/>
        <c:minorTickMark val="none"/>
        <c:tickLblPos val="nextTo"/>
        <c:crossAx val="114268032"/>
        <c:crosses val="autoZero"/>
        <c:auto val="1"/>
        <c:lblAlgn val="ctr"/>
        <c:lblOffset val="100"/>
        <c:noMultiLvlLbl val="0"/>
      </c:catAx>
      <c:valAx>
        <c:axId val="114268032"/>
        <c:scaling>
          <c:orientation val="minMax"/>
        </c:scaling>
        <c:delete val="0"/>
        <c:axPos val="l"/>
        <c:majorGridlines/>
        <c:numFmt formatCode="General" sourceLinked="1"/>
        <c:majorTickMark val="out"/>
        <c:minorTickMark val="none"/>
        <c:tickLblPos val="nextTo"/>
        <c:crossAx val="1142664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PROFILER</dc:creator>
  <cp:lastModifiedBy>PROFILER</cp:lastModifiedBy>
  <cp:revision>4</cp:revision>
  <cp:lastPrinted>2015-05-19T21:34:00Z</cp:lastPrinted>
  <dcterms:created xsi:type="dcterms:W3CDTF">2015-05-18T22:16:00Z</dcterms:created>
  <dcterms:modified xsi:type="dcterms:W3CDTF">2015-05-19T21:53:00Z</dcterms:modified>
</cp:coreProperties>
</file>