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E6651" w:rsidRDefault="008147AA" w:rsidP="00507D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Washington State Liquor Control Board Adopts</w:t>
      </w:r>
    </w:p>
    <w:p w:rsidR="008147AA" w:rsidRDefault="008147AA" w:rsidP="00507D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Amended Banned Product List</w:t>
      </w:r>
    </w:p>
    <w:p w:rsidR="008147AA" w:rsidRDefault="008147AA" w:rsidP="00507D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Spokane Downtown Alcohol Impact Area</w:t>
      </w:r>
    </w:p>
    <w:p w:rsidR="008147AA" w:rsidRPr="00507D53" w:rsidRDefault="008147AA" w:rsidP="007349D0">
      <w:pPr>
        <w:spacing w:after="120" w:line="240" w:lineRule="auto"/>
        <w:rPr>
          <w:b/>
        </w:rPr>
      </w:pPr>
      <w:r w:rsidRPr="00507D53">
        <w:rPr>
          <w:b/>
        </w:rPr>
        <w:t xml:space="preserve">On </w:t>
      </w:r>
      <w:r w:rsidR="00FD2F94" w:rsidRPr="00507D53">
        <w:rPr>
          <w:b/>
        </w:rPr>
        <w:t>April 4, 2012</w:t>
      </w:r>
      <w:r w:rsidRPr="00507D53">
        <w:rPr>
          <w:b/>
        </w:rPr>
        <w:t xml:space="preserve">, the WSLCB Board approved the city of Spokane’s request to amend the banned products in the Downtown Alcohol Impact Area effective </w:t>
      </w:r>
      <w:r w:rsidR="00395D3F" w:rsidRPr="00507D53">
        <w:rPr>
          <w:b/>
        </w:rPr>
        <w:t>immediately</w:t>
      </w:r>
      <w:r w:rsidRPr="00507D53">
        <w:rPr>
          <w:b/>
        </w:rPr>
        <w:t>.  All banned products must be removed from retail licensee premises by May 1</w:t>
      </w:r>
      <w:r w:rsidR="00FD2F94" w:rsidRPr="00507D53">
        <w:rPr>
          <w:b/>
        </w:rPr>
        <w:t>5</w:t>
      </w:r>
      <w:r w:rsidRPr="00507D53">
        <w:rPr>
          <w:b/>
        </w:rPr>
        <w:t>, 201</w:t>
      </w:r>
      <w:r w:rsidR="00FD2F94" w:rsidRPr="00507D53">
        <w:rPr>
          <w:b/>
        </w:rPr>
        <w:t>2</w:t>
      </w:r>
      <w:r w:rsidRPr="00507D53">
        <w:rPr>
          <w:b/>
        </w:rPr>
        <w:t>.</w:t>
      </w:r>
    </w:p>
    <w:p w:rsidR="008147AA" w:rsidRPr="00507D53" w:rsidRDefault="008147AA" w:rsidP="007349D0">
      <w:pPr>
        <w:spacing w:after="120" w:line="240" w:lineRule="auto"/>
        <w:rPr>
          <w:b/>
          <w:color w:val="FF0000"/>
        </w:rPr>
      </w:pPr>
      <w:r w:rsidRPr="00507D53">
        <w:rPr>
          <w:b/>
        </w:rPr>
        <w:t xml:space="preserve">Information related to this action, including the Board resolution, is available for viewing at </w:t>
      </w:r>
      <w:hyperlink r:id="rId6" w:history="1">
        <w:r w:rsidRPr="00507D53">
          <w:rPr>
            <w:rStyle w:val="Hyperlink"/>
            <w:b/>
          </w:rPr>
          <w:t>http://www.liq.wa.gov/licensing/alcohol-impact-areas-existing-locations</w:t>
        </w:r>
      </w:hyperlink>
      <w:r w:rsidRPr="00507D53">
        <w:rPr>
          <w:b/>
        </w:rPr>
        <w:t xml:space="preserve">.  For questions, please contact us via email at </w:t>
      </w:r>
      <w:hyperlink r:id="rId7" w:history="1">
        <w:r w:rsidRPr="00507D53">
          <w:rPr>
            <w:rStyle w:val="Hyperlink"/>
            <w:b/>
          </w:rPr>
          <w:t>aia@liq.wa.gov</w:t>
        </w:r>
      </w:hyperlink>
      <w:r w:rsidRPr="00507D53">
        <w:rPr>
          <w:b/>
        </w:rPr>
        <w:t xml:space="preserve"> or your local Enforcement Office at (509) 625-5513.</w:t>
      </w:r>
      <w:r w:rsidR="00507D53">
        <w:rPr>
          <w:b/>
        </w:rPr>
        <w:t xml:space="preserve">  </w:t>
      </w:r>
      <w:r w:rsidR="00507D53">
        <w:rPr>
          <w:b/>
          <w:color w:val="FF0000"/>
        </w:rPr>
        <w:t>*New Products</w:t>
      </w: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2374"/>
        <w:gridCol w:w="2673"/>
        <w:gridCol w:w="2249"/>
      </w:tblGrid>
      <w:tr w:rsidR="00507D53" w:rsidRPr="00490CAA" w:rsidTr="00507D53">
        <w:trPr>
          <w:trHeight w:val="332"/>
          <w:jc w:val="center"/>
        </w:trPr>
        <w:tc>
          <w:tcPr>
            <w:tcW w:w="3438" w:type="dxa"/>
          </w:tcPr>
          <w:p w:rsidR="00507D53" w:rsidRPr="007349D0" w:rsidRDefault="00507D53" w:rsidP="000B2213">
            <w:pPr>
              <w:pStyle w:val="PMOBody"/>
              <w:ind w:left="0"/>
              <w:rPr>
                <w:b/>
                <w:sz w:val="21"/>
                <w:szCs w:val="21"/>
                <w:u w:val="single"/>
              </w:rPr>
            </w:pPr>
            <w:r w:rsidRPr="007349D0">
              <w:rPr>
                <w:sz w:val="21"/>
                <w:szCs w:val="21"/>
              </w:rPr>
              <w:br w:type="page"/>
            </w:r>
            <w:r w:rsidRPr="007349D0">
              <w:rPr>
                <w:b/>
                <w:sz w:val="21"/>
                <w:szCs w:val="21"/>
                <w:u w:val="single"/>
              </w:rPr>
              <w:t>Brand Name</w:t>
            </w:r>
          </w:p>
        </w:tc>
        <w:tc>
          <w:tcPr>
            <w:tcW w:w="2374" w:type="dxa"/>
          </w:tcPr>
          <w:p w:rsidR="00507D53" w:rsidRPr="007349D0" w:rsidRDefault="00507D53" w:rsidP="007349D0">
            <w:pPr>
              <w:pStyle w:val="PMOBody"/>
              <w:ind w:left="-90" w:right="-108"/>
              <w:jc w:val="center"/>
              <w:rPr>
                <w:b/>
                <w:sz w:val="21"/>
                <w:szCs w:val="21"/>
                <w:u w:val="single"/>
              </w:rPr>
            </w:pPr>
            <w:r w:rsidRPr="007349D0">
              <w:rPr>
                <w:b/>
                <w:sz w:val="21"/>
                <w:szCs w:val="21"/>
                <w:u w:val="single"/>
              </w:rPr>
              <w:t>Alcohol Content by Volume</w:t>
            </w:r>
          </w:p>
        </w:tc>
        <w:tc>
          <w:tcPr>
            <w:tcW w:w="2673" w:type="dxa"/>
          </w:tcPr>
          <w:p w:rsidR="00507D53" w:rsidRPr="007349D0" w:rsidRDefault="00507D53" w:rsidP="00397493">
            <w:pPr>
              <w:pStyle w:val="PMOBody"/>
              <w:ind w:left="0"/>
              <w:rPr>
                <w:b/>
                <w:sz w:val="21"/>
                <w:szCs w:val="21"/>
                <w:u w:val="single"/>
              </w:rPr>
            </w:pPr>
            <w:r w:rsidRPr="007349D0">
              <w:rPr>
                <w:sz w:val="21"/>
                <w:szCs w:val="21"/>
              </w:rPr>
              <w:br w:type="page"/>
            </w:r>
            <w:r w:rsidRPr="007349D0">
              <w:rPr>
                <w:b/>
                <w:sz w:val="21"/>
                <w:szCs w:val="21"/>
                <w:u w:val="single"/>
              </w:rPr>
              <w:t>Brand Name</w:t>
            </w:r>
          </w:p>
        </w:tc>
        <w:tc>
          <w:tcPr>
            <w:tcW w:w="2249" w:type="dxa"/>
          </w:tcPr>
          <w:p w:rsidR="00507D53" w:rsidRPr="007349D0" w:rsidRDefault="00507D53" w:rsidP="00397493">
            <w:pPr>
              <w:pStyle w:val="PMOBody"/>
              <w:ind w:left="-90" w:right="-108"/>
              <w:jc w:val="center"/>
              <w:rPr>
                <w:b/>
                <w:sz w:val="21"/>
                <w:szCs w:val="21"/>
                <w:u w:val="single"/>
              </w:rPr>
            </w:pPr>
            <w:r w:rsidRPr="007349D0">
              <w:rPr>
                <w:b/>
                <w:sz w:val="21"/>
                <w:szCs w:val="21"/>
                <w:u w:val="single"/>
              </w:rPr>
              <w:t>Alcohol Content by Volume</w:t>
            </w: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color w:val="FF0000"/>
                <w:sz w:val="21"/>
                <w:szCs w:val="21"/>
              </w:rPr>
            </w:pPr>
            <w:r w:rsidRPr="00507D53">
              <w:rPr>
                <w:b/>
                <w:color w:val="FF0000"/>
                <w:sz w:val="21"/>
                <w:szCs w:val="21"/>
              </w:rPr>
              <w:t>Blast (all products)*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12%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Smirnoff XBT</w:t>
            </w: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8%</w:t>
            </w: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Bull Ice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8%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Schlitz Malt Liquor</w:t>
            </w: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5.9%</w:t>
            </w: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Busch Ice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Schlitz High Gravity</w:t>
            </w: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8.5%</w:t>
            </w: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Cobra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Sparks</w:t>
            </w: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6% - 8%</w:t>
            </w: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Colt 45 Ice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6.1%</w:t>
            </w:r>
          </w:p>
        </w:tc>
        <w:tc>
          <w:tcPr>
            <w:tcW w:w="2673" w:type="dxa"/>
          </w:tcPr>
          <w:p w:rsidR="00553502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Special 800 Reserve</w:t>
            </w:r>
          </w:p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53502">
              <w:rPr>
                <w:b/>
                <w:sz w:val="18"/>
                <w:szCs w:val="18"/>
              </w:rPr>
              <w:t xml:space="preserve">(all </w:t>
            </w:r>
            <w:r>
              <w:rPr>
                <w:b/>
                <w:sz w:val="18"/>
                <w:szCs w:val="18"/>
              </w:rPr>
              <w:t>f</w:t>
            </w:r>
            <w:r w:rsidRPr="00553502">
              <w:rPr>
                <w:b/>
                <w:sz w:val="18"/>
                <w:szCs w:val="18"/>
              </w:rPr>
              <w:t>lavors)</w:t>
            </w: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6%</w:t>
            </w: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Colt 45 Malt Liquor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6.4%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St. Ide’s Liquor and Special Brews (all flavors)</w:t>
            </w: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6% - 7.3%</w:t>
            </w: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color w:val="FF0000"/>
                <w:sz w:val="21"/>
                <w:szCs w:val="21"/>
              </w:rPr>
            </w:pPr>
            <w:r w:rsidRPr="00507D53">
              <w:rPr>
                <w:b/>
                <w:color w:val="FF0000"/>
                <w:sz w:val="21"/>
                <w:szCs w:val="21"/>
              </w:rPr>
              <w:t>Dog Bite*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10%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color w:val="FF0000"/>
                <w:sz w:val="21"/>
                <w:szCs w:val="21"/>
              </w:rPr>
            </w:pPr>
            <w:r w:rsidRPr="00507D53">
              <w:rPr>
                <w:b/>
                <w:color w:val="FF0000"/>
                <w:sz w:val="21"/>
                <w:szCs w:val="21"/>
              </w:rPr>
              <w:t>Stack High Gravity Lager*</w:t>
            </w: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12%</w:t>
            </w: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Drink Four (all products)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10% - 12 %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Steel Reserve (all products)</w:t>
            </w: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5.5% - 8%</w:t>
            </w: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color w:val="FF0000"/>
                <w:sz w:val="21"/>
                <w:szCs w:val="21"/>
              </w:rPr>
            </w:pPr>
            <w:r w:rsidRPr="00507D53">
              <w:rPr>
                <w:b/>
                <w:color w:val="FF0000"/>
                <w:sz w:val="21"/>
                <w:szCs w:val="21"/>
              </w:rPr>
              <w:t>Earthquake High Gravity*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12%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Tilt</w:t>
            </w: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6.6% - 8%</w:t>
            </w: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Hamm’s Ice Brewed Ale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6.1%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color w:val="FF0000"/>
                <w:sz w:val="21"/>
                <w:szCs w:val="21"/>
              </w:rPr>
            </w:pPr>
            <w:r w:rsidRPr="00507D53">
              <w:rPr>
                <w:b/>
                <w:color w:val="FF0000"/>
                <w:sz w:val="21"/>
                <w:szCs w:val="21"/>
              </w:rPr>
              <w:t>Vampt Smooth Talker*</w:t>
            </w: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8%</w:t>
            </w: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Hamm’s Ice Brewed Beer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6.1%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color w:val="FF0000"/>
                <w:sz w:val="21"/>
                <w:szCs w:val="21"/>
              </w:rPr>
            </w:pPr>
            <w:r w:rsidRPr="00507D53">
              <w:rPr>
                <w:b/>
                <w:color w:val="FF0000"/>
                <w:sz w:val="21"/>
                <w:szCs w:val="21"/>
              </w:rPr>
              <w:t>Vampt Midnight Warrior*</w:t>
            </w: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8%</w:t>
            </w: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 xml:space="preserve">Hard Wired 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6.9%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High Gravity (all products)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8.1% - 9%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Hurricane (all products)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5.9% - 12%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Ice House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5.5%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Joose (all products)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9.9%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Keystone Ice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King Cobra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Lucky Ice Ale Premium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6.1%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Lucky Ice Beer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6.1%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Magnum Malt Liquor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Mike’s Harder Lemonade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8%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Mickey’s (all products)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5.6% - 5.8%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Milwaukee Best Ice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Milwaukee Best Premium Ice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color w:val="FF0000"/>
                <w:sz w:val="21"/>
                <w:szCs w:val="21"/>
              </w:rPr>
            </w:pPr>
            <w:r w:rsidRPr="00507D53">
              <w:rPr>
                <w:b/>
                <w:color w:val="FF0000"/>
                <w:sz w:val="21"/>
                <w:szCs w:val="21"/>
              </w:rPr>
              <w:t>Natty Daddy*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8%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Natural Ice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Old Milwaukee Ice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507D5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Olde English 800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507D53">
              <w:rPr>
                <w:b/>
                <w:sz w:val="21"/>
                <w:szCs w:val="21"/>
              </w:rPr>
              <w:t>(all products)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7.5% - 8%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Olympia Ice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6.1%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Pabst Ice Ale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Rainier Ice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5.9%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553502" w:rsidRPr="00490CAA" w:rsidTr="00507D53">
        <w:trPr>
          <w:jc w:val="center"/>
        </w:trPr>
        <w:tc>
          <w:tcPr>
            <w:tcW w:w="3438" w:type="dxa"/>
          </w:tcPr>
          <w:p w:rsidR="00553502" w:rsidRPr="00507D53" w:rsidRDefault="00553502" w:rsidP="00397493">
            <w:pPr>
              <w:pStyle w:val="PMOBody"/>
              <w:ind w:left="0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Red Bull Malt Liquor</w:t>
            </w:r>
          </w:p>
        </w:tc>
        <w:tc>
          <w:tcPr>
            <w:tcW w:w="2374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  <w:r w:rsidRPr="00507D53">
              <w:rPr>
                <w:b/>
                <w:sz w:val="21"/>
                <w:szCs w:val="21"/>
              </w:rPr>
              <w:t>7%</w:t>
            </w:r>
          </w:p>
        </w:tc>
        <w:tc>
          <w:tcPr>
            <w:tcW w:w="2673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9" w:type="dxa"/>
          </w:tcPr>
          <w:p w:rsidR="00553502" w:rsidRPr="00507D53" w:rsidRDefault="00553502" w:rsidP="00397493">
            <w:pPr>
              <w:pStyle w:val="PMOBody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7349D0" w:rsidRDefault="007349D0" w:rsidP="008147AA">
      <w:pPr>
        <w:rPr>
          <w:b/>
          <w:sz w:val="24"/>
          <w:szCs w:val="24"/>
        </w:rPr>
      </w:pPr>
    </w:p>
    <w:p w:rsidR="000364F4" w:rsidRPr="008147AA" w:rsidRDefault="000364F4" w:rsidP="000364F4">
      <w:pPr>
        <w:tabs>
          <w:tab w:val="left" w:pos="5040"/>
        </w:tabs>
        <w:spacing w:after="0" w:line="240" w:lineRule="auto"/>
        <w:rPr>
          <w:b/>
          <w:sz w:val="24"/>
          <w:szCs w:val="24"/>
        </w:rPr>
      </w:pPr>
    </w:p>
    <w:sectPr w:rsidR="000364F4" w:rsidRPr="008147AA" w:rsidSect="00A40A2D">
      <w:headerReference w:type="default" r:id="rId8"/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1E" w:rsidRDefault="007C271E" w:rsidP="007C271E">
      <w:pPr>
        <w:spacing w:after="0" w:line="240" w:lineRule="auto"/>
      </w:pPr>
      <w:r>
        <w:separator/>
      </w:r>
    </w:p>
  </w:endnote>
  <w:endnote w:type="continuationSeparator" w:id="0">
    <w:p w:rsidR="007C271E" w:rsidRDefault="007C271E" w:rsidP="007C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1E" w:rsidRDefault="007C271E" w:rsidP="007C271E">
      <w:pPr>
        <w:spacing w:after="0" w:line="240" w:lineRule="auto"/>
      </w:pPr>
      <w:r>
        <w:separator/>
      </w:r>
    </w:p>
  </w:footnote>
  <w:footnote w:type="continuationSeparator" w:id="0">
    <w:p w:rsidR="007C271E" w:rsidRDefault="007C271E" w:rsidP="007C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1E" w:rsidRDefault="007C271E">
    <w:pPr>
      <w:pStyle w:val="Header"/>
    </w:pPr>
    <w:r>
      <w:rPr>
        <w:rFonts w:ascii="Tahoma" w:hAnsi="Tahoma" w:cs="Tahoma"/>
        <w:b/>
        <w:noProof/>
      </w:rPr>
      <w:drawing>
        <wp:inline distT="0" distB="0" distL="0" distR="0">
          <wp:extent cx="5476875" cy="552450"/>
          <wp:effectExtent l="0" t="0" r="0" b="0"/>
          <wp:docPr id="7" name="Picture 7" descr="color letterhead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or letterhead 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C271E"/>
    <w:rsid w:val="000033C0"/>
    <w:rsid w:val="00003FC5"/>
    <w:rsid w:val="00010360"/>
    <w:rsid w:val="0001232A"/>
    <w:rsid w:val="000217A1"/>
    <w:rsid w:val="00021990"/>
    <w:rsid w:val="00024261"/>
    <w:rsid w:val="00030C9E"/>
    <w:rsid w:val="00035537"/>
    <w:rsid w:val="000364F4"/>
    <w:rsid w:val="00036731"/>
    <w:rsid w:val="00037037"/>
    <w:rsid w:val="00037A9B"/>
    <w:rsid w:val="000441E0"/>
    <w:rsid w:val="00047A54"/>
    <w:rsid w:val="00047F70"/>
    <w:rsid w:val="00051CA3"/>
    <w:rsid w:val="000554D8"/>
    <w:rsid w:val="0005591D"/>
    <w:rsid w:val="00071333"/>
    <w:rsid w:val="0007252A"/>
    <w:rsid w:val="000727FB"/>
    <w:rsid w:val="00076713"/>
    <w:rsid w:val="000776E3"/>
    <w:rsid w:val="00077F99"/>
    <w:rsid w:val="00082703"/>
    <w:rsid w:val="000829E3"/>
    <w:rsid w:val="00093141"/>
    <w:rsid w:val="000A17B1"/>
    <w:rsid w:val="000B6DEA"/>
    <w:rsid w:val="000C0B39"/>
    <w:rsid w:val="000C2BD7"/>
    <w:rsid w:val="000C60EE"/>
    <w:rsid w:val="000E2B6E"/>
    <w:rsid w:val="000E4408"/>
    <w:rsid w:val="000E5BB1"/>
    <w:rsid w:val="000F75FD"/>
    <w:rsid w:val="001051DF"/>
    <w:rsid w:val="0010543A"/>
    <w:rsid w:val="0011126F"/>
    <w:rsid w:val="0011134D"/>
    <w:rsid w:val="00111A74"/>
    <w:rsid w:val="00115CC6"/>
    <w:rsid w:val="00115E4F"/>
    <w:rsid w:val="001170F7"/>
    <w:rsid w:val="00117383"/>
    <w:rsid w:val="0012484F"/>
    <w:rsid w:val="001328A5"/>
    <w:rsid w:val="00137DE9"/>
    <w:rsid w:val="0014159A"/>
    <w:rsid w:val="00150412"/>
    <w:rsid w:val="00153AF4"/>
    <w:rsid w:val="001545B3"/>
    <w:rsid w:val="00156492"/>
    <w:rsid w:val="0015653C"/>
    <w:rsid w:val="00156AD5"/>
    <w:rsid w:val="001622B3"/>
    <w:rsid w:val="00162CCF"/>
    <w:rsid w:val="00170860"/>
    <w:rsid w:val="00170D2A"/>
    <w:rsid w:val="001733C8"/>
    <w:rsid w:val="00177D45"/>
    <w:rsid w:val="00181A7F"/>
    <w:rsid w:val="00196CC2"/>
    <w:rsid w:val="001A1373"/>
    <w:rsid w:val="001A3625"/>
    <w:rsid w:val="001A665F"/>
    <w:rsid w:val="001B054F"/>
    <w:rsid w:val="001B321F"/>
    <w:rsid w:val="001B3898"/>
    <w:rsid w:val="001C24E7"/>
    <w:rsid w:val="001C4BE8"/>
    <w:rsid w:val="001C5952"/>
    <w:rsid w:val="001D0FCB"/>
    <w:rsid w:val="001D1629"/>
    <w:rsid w:val="001D7288"/>
    <w:rsid w:val="001E1B84"/>
    <w:rsid w:val="001E7A1B"/>
    <w:rsid w:val="001E7C29"/>
    <w:rsid w:val="001F4153"/>
    <w:rsid w:val="00202A39"/>
    <w:rsid w:val="00221A57"/>
    <w:rsid w:val="002368AD"/>
    <w:rsid w:val="00246EF8"/>
    <w:rsid w:val="00251359"/>
    <w:rsid w:val="0025465F"/>
    <w:rsid w:val="00255BAE"/>
    <w:rsid w:val="00256654"/>
    <w:rsid w:val="00261F3C"/>
    <w:rsid w:val="00267080"/>
    <w:rsid w:val="002675C6"/>
    <w:rsid w:val="002703B7"/>
    <w:rsid w:val="002775A8"/>
    <w:rsid w:val="002841E6"/>
    <w:rsid w:val="0028429F"/>
    <w:rsid w:val="002865A8"/>
    <w:rsid w:val="002A2B0D"/>
    <w:rsid w:val="002A57D1"/>
    <w:rsid w:val="002A6531"/>
    <w:rsid w:val="002A770E"/>
    <w:rsid w:val="002C12D1"/>
    <w:rsid w:val="002D2653"/>
    <w:rsid w:val="002D4D56"/>
    <w:rsid w:val="002E2839"/>
    <w:rsid w:val="002E3527"/>
    <w:rsid w:val="002E4CDC"/>
    <w:rsid w:val="00304DC3"/>
    <w:rsid w:val="003113B6"/>
    <w:rsid w:val="0031711D"/>
    <w:rsid w:val="00321EEE"/>
    <w:rsid w:val="00325E4B"/>
    <w:rsid w:val="003311F8"/>
    <w:rsid w:val="0033397B"/>
    <w:rsid w:val="00343A54"/>
    <w:rsid w:val="0034630E"/>
    <w:rsid w:val="0035559C"/>
    <w:rsid w:val="003638F7"/>
    <w:rsid w:val="003672FC"/>
    <w:rsid w:val="0038147E"/>
    <w:rsid w:val="00392A88"/>
    <w:rsid w:val="00395D3F"/>
    <w:rsid w:val="003A3CF2"/>
    <w:rsid w:val="003A3EB2"/>
    <w:rsid w:val="003C0729"/>
    <w:rsid w:val="003C36AD"/>
    <w:rsid w:val="003C647C"/>
    <w:rsid w:val="003D1B11"/>
    <w:rsid w:val="003D4B7C"/>
    <w:rsid w:val="003E33A7"/>
    <w:rsid w:val="003F1B21"/>
    <w:rsid w:val="003F3BD8"/>
    <w:rsid w:val="003F6010"/>
    <w:rsid w:val="003F6224"/>
    <w:rsid w:val="00400410"/>
    <w:rsid w:val="00400CE2"/>
    <w:rsid w:val="00401915"/>
    <w:rsid w:val="004072FD"/>
    <w:rsid w:val="00415EF4"/>
    <w:rsid w:val="00416F4D"/>
    <w:rsid w:val="0042262D"/>
    <w:rsid w:val="00422918"/>
    <w:rsid w:val="00423DFC"/>
    <w:rsid w:val="00427B54"/>
    <w:rsid w:val="00431C5E"/>
    <w:rsid w:val="00440691"/>
    <w:rsid w:val="004423D6"/>
    <w:rsid w:val="0045582C"/>
    <w:rsid w:val="00457A4F"/>
    <w:rsid w:val="00460EB0"/>
    <w:rsid w:val="00466684"/>
    <w:rsid w:val="004668FF"/>
    <w:rsid w:val="00472AD7"/>
    <w:rsid w:val="00473B91"/>
    <w:rsid w:val="0047544A"/>
    <w:rsid w:val="00481BE1"/>
    <w:rsid w:val="00481DC8"/>
    <w:rsid w:val="004839AA"/>
    <w:rsid w:val="004941F2"/>
    <w:rsid w:val="004974C4"/>
    <w:rsid w:val="004A207D"/>
    <w:rsid w:val="004A56AF"/>
    <w:rsid w:val="004B0059"/>
    <w:rsid w:val="004B2010"/>
    <w:rsid w:val="004C2CE0"/>
    <w:rsid w:val="004C5D03"/>
    <w:rsid w:val="004E5E08"/>
    <w:rsid w:val="004E6404"/>
    <w:rsid w:val="004E6666"/>
    <w:rsid w:val="004F1E8E"/>
    <w:rsid w:val="004F270F"/>
    <w:rsid w:val="00501B58"/>
    <w:rsid w:val="00507430"/>
    <w:rsid w:val="00507D53"/>
    <w:rsid w:val="005201C6"/>
    <w:rsid w:val="005360B4"/>
    <w:rsid w:val="005434DA"/>
    <w:rsid w:val="00553047"/>
    <w:rsid w:val="00553502"/>
    <w:rsid w:val="00563476"/>
    <w:rsid w:val="00567723"/>
    <w:rsid w:val="00571424"/>
    <w:rsid w:val="005727C1"/>
    <w:rsid w:val="00574DF8"/>
    <w:rsid w:val="00576F0F"/>
    <w:rsid w:val="00591FCD"/>
    <w:rsid w:val="00594D55"/>
    <w:rsid w:val="0059776F"/>
    <w:rsid w:val="005A0177"/>
    <w:rsid w:val="005A2CAB"/>
    <w:rsid w:val="005A7538"/>
    <w:rsid w:val="005A76A8"/>
    <w:rsid w:val="005B318C"/>
    <w:rsid w:val="005B6140"/>
    <w:rsid w:val="005B6524"/>
    <w:rsid w:val="005B68BC"/>
    <w:rsid w:val="005B790F"/>
    <w:rsid w:val="005E2C1B"/>
    <w:rsid w:val="005E3985"/>
    <w:rsid w:val="005E60DB"/>
    <w:rsid w:val="005F4A10"/>
    <w:rsid w:val="005F64B8"/>
    <w:rsid w:val="005F6AE1"/>
    <w:rsid w:val="00604197"/>
    <w:rsid w:val="00607499"/>
    <w:rsid w:val="006104B4"/>
    <w:rsid w:val="00617692"/>
    <w:rsid w:val="00623AB3"/>
    <w:rsid w:val="006319AE"/>
    <w:rsid w:val="006319ED"/>
    <w:rsid w:val="0063219C"/>
    <w:rsid w:val="00633FA5"/>
    <w:rsid w:val="00635987"/>
    <w:rsid w:val="00636662"/>
    <w:rsid w:val="00646AC2"/>
    <w:rsid w:val="00647F1A"/>
    <w:rsid w:val="006578A6"/>
    <w:rsid w:val="00681F5F"/>
    <w:rsid w:val="00684A99"/>
    <w:rsid w:val="00684E1E"/>
    <w:rsid w:val="00685EAF"/>
    <w:rsid w:val="0069327D"/>
    <w:rsid w:val="006935F9"/>
    <w:rsid w:val="006938D6"/>
    <w:rsid w:val="00696221"/>
    <w:rsid w:val="006A3BF3"/>
    <w:rsid w:val="006A7382"/>
    <w:rsid w:val="006C0E64"/>
    <w:rsid w:val="006C2949"/>
    <w:rsid w:val="006C4F39"/>
    <w:rsid w:val="006C731B"/>
    <w:rsid w:val="006D0D95"/>
    <w:rsid w:val="006D200C"/>
    <w:rsid w:val="006D3F92"/>
    <w:rsid w:val="006E1152"/>
    <w:rsid w:val="006E4550"/>
    <w:rsid w:val="006E5292"/>
    <w:rsid w:val="006E5634"/>
    <w:rsid w:val="006F0AB4"/>
    <w:rsid w:val="006F1857"/>
    <w:rsid w:val="006F787B"/>
    <w:rsid w:val="00706F22"/>
    <w:rsid w:val="00713809"/>
    <w:rsid w:val="00720193"/>
    <w:rsid w:val="00722614"/>
    <w:rsid w:val="0072460D"/>
    <w:rsid w:val="00725810"/>
    <w:rsid w:val="00727483"/>
    <w:rsid w:val="007349D0"/>
    <w:rsid w:val="00734CD7"/>
    <w:rsid w:val="00741291"/>
    <w:rsid w:val="00744E29"/>
    <w:rsid w:val="00747297"/>
    <w:rsid w:val="007616F5"/>
    <w:rsid w:val="00762F58"/>
    <w:rsid w:val="007665F2"/>
    <w:rsid w:val="00773813"/>
    <w:rsid w:val="0077415D"/>
    <w:rsid w:val="00775B9F"/>
    <w:rsid w:val="00780DA8"/>
    <w:rsid w:val="0078256E"/>
    <w:rsid w:val="00785BD0"/>
    <w:rsid w:val="0079075B"/>
    <w:rsid w:val="00793F03"/>
    <w:rsid w:val="007A000E"/>
    <w:rsid w:val="007A5B4E"/>
    <w:rsid w:val="007B2571"/>
    <w:rsid w:val="007B615D"/>
    <w:rsid w:val="007B7706"/>
    <w:rsid w:val="007C271E"/>
    <w:rsid w:val="007C2A3B"/>
    <w:rsid w:val="007C66DA"/>
    <w:rsid w:val="007C6A80"/>
    <w:rsid w:val="007D266A"/>
    <w:rsid w:val="007D2D10"/>
    <w:rsid w:val="007D3CD9"/>
    <w:rsid w:val="007E457A"/>
    <w:rsid w:val="007F1413"/>
    <w:rsid w:val="007F18D5"/>
    <w:rsid w:val="007F1D65"/>
    <w:rsid w:val="007F54FD"/>
    <w:rsid w:val="008004DC"/>
    <w:rsid w:val="00801B4A"/>
    <w:rsid w:val="00810669"/>
    <w:rsid w:val="00811F1B"/>
    <w:rsid w:val="00813A41"/>
    <w:rsid w:val="00813BEC"/>
    <w:rsid w:val="008147AA"/>
    <w:rsid w:val="00815040"/>
    <w:rsid w:val="00827FA0"/>
    <w:rsid w:val="00831A15"/>
    <w:rsid w:val="00833E45"/>
    <w:rsid w:val="008515F9"/>
    <w:rsid w:val="008532A1"/>
    <w:rsid w:val="008603D1"/>
    <w:rsid w:val="00861A5D"/>
    <w:rsid w:val="00866D6C"/>
    <w:rsid w:val="00882BA5"/>
    <w:rsid w:val="00885454"/>
    <w:rsid w:val="008873F2"/>
    <w:rsid w:val="008915F3"/>
    <w:rsid w:val="008929F1"/>
    <w:rsid w:val="008A66AB"/>
    <w:rsid w:val="008A6A02"/>
    <w:rsid w:val="008B0D18"/>
    <w:rsid w:val="008B658F"/>
    <w:rsid w:val="008D52AA"/>
    <w:rsid w:val="008D5F7C"/>
    <w:rsid w:val="008E034F"/>
    <w:rsid w:val="008E19AC"/>
    <w:rsid w:val="008E4639"/>
    <w:rsid w:val="008E501C"/>
    <w:rsid w:val="008E609D"/>
    <w:rsid w:val="008E6E03"/>
    <w:rsid w:val="00902E9F"/>
    <w:rsid w:val="00903890"/>
    <w:rsid w:val="00903953"/>
    <w:rsid w:val="00912C66"/>
    <w:rsid w:val="009218DD"/>
    <w:rsid w:val="009324B9"/>
    <w:rsid w:val="00935C9D"/>
    <w:rsid w:val="00937862"/>
    <w:rsid w:val="00937AAE"/>
    <w:rsid w:val="0094320E"/>
    <w:rsid w:val="0094457B"/>
    <w:rsid w:val="009475A8"/>
    <w:rsid w:val="009579C9"/>
    <w:rsid w:val="00961FA9"/>
    <w:rsid w:val="00964639"/>
    <w:rsid w:val="009657A6"/>
    <w:rsid w:val="009662D1"/>
    <w:rsid w:val="00977FBC"/>
    <w:rsid w:val="009800B3"/>
    <w:rsid w:val="009826A2"/>
    <w:rsid w:val="00985914"/>
    <w:rsid w:val="009909B5"/>
    <w:rsid w:val="00991127"/>
    <w:rsid w:val="009A5F57"/>
    <w:rsid w:val="009B5652"/>
    <w:rsid w:val="009B7D63"/>
    <w:rsid w:val="009C0479"/>
    <w:rsid w:val="009C320B"/>
    <w:rsid w:val="009D34BD"/>
    <w:rsid w:val="009D35AD"/>
    <w:rsid w:val="009D5A4A"/>
    <w:rsid w:val="009D7430"/>
    <w:rsid w:val="009E02AA"/>
    <w:rsid w:val="009E46BB"/>
    <w:rsid w:val="009F3119"/>
    <w:rsid w:val="00A00810"/>
    <w:rsid w:val="00A00D24"/>
    <w:rsid w:val="00A00E12"/>
    <w:rsid w:val="00A06117"/>
    <w:rsid w:val="00A07D0A"/>
    <w:rsid w:val="00A11EF7"/>
    <w:rsid w:val="00A179E0"/>
    <w:rsid w:val="00A23D95"/>
    <w:rsid w:val="00A23E0C"/>
    <w:rsid w:val="00A262B9"/>
    <w:rsid w:val="00A2763D"/>
    <w:rsid w:val="00A278AD"/>
    <w:rsid w:val="00A349F8"/>
    <w:rsid w:val="00A353F7"/>
    <w:rsid w:val="00A40A2D"/>
    <w:rsid w:val="00A40BBD"/>
    <w:rsid w:val="00A433D4"/>
    <w:rsid w:val="00A57762"/>
    <w:rsid w:val="00A62453"/>
    <w:rsid w:val="00A625C3"/>
    <w:rsid w:val="00A65D7A"/>
    <w:rsid w:val="00A6719E"/>
    <w:rsid w:val="00A715E3"/>
    <w:rsid w:val="00A75F8E"/>
    <w:rsid w:val="00A772CB"/>
    <w:rsid w:val="00A77FFE"/>
    <w:rsid w:val="00A8252B"/>
    <w:rsid w:val="00A828C9"/>
    <w:rsid w:val="00A86462"/>
    <w:rsid w:val="00A93D61"/>
    <w:rsid w:val="00A94A8A"/>
    <w:rsid w:val="00A94E33"/>
    <w:rsid w:val="00A9539D"/>
    <w:rsid w:val="00A954E8"/>
    <w:rsid w:val="00AA1845"/>
    <w:rsid w:val="00AA7762"/>
    <w:rsid w:val="00AB3E54"/>
    <w:rsid w:val="00AB41BC"/>
    <w:rsid w:val="00AB4884"/>
    <w:rsid w:val="00AB5583"/>
    <w:rsid w:val="00AC0B6B"/>
    <w:rsid w:val="00AC37EA"/>
    <w:rsid w:val="00AC6A00"/>
    <w:rsid w:val="00AD0470"/>
    <w:rsid w:val="00AD04E9"/>
    <w:rsid w:val="00AD241B"/>
    <w:rsid w:val="00AE4B38"/>
    <w:rsid w:val="00AE533D"/>
    <w:rsid w:val="00AE67E0"/>
    <w:rsid w:val="00AF1A48"/>
    <w:rsid w:val="00AF6666"/>
    <w:rsid w:val="00B01FEC"/>
    <w:rsid w:val="00B04CDD"/>
    <w:rsid w:val="00B06704"/>
    <w:rsid w:val="00B0754E"/>
    <w:rsid w:val="00B07F40"/>
    <w:rsid w:val="00B13CFF"/>
    <w:rsid w:val="00B24EFD"/>
    <w:rsid w:val="00B265D8"/>
    <w:rsid w:val="00B26E2C"/>
    <w:rsid w:val="00B30EFD"/>
    <w:rsid w:val="00B34EF0"/>
    <w:rsid w:val="00B35A7C"/>
    <w:rsid w:val="00B368D6"/>
    <w:rsid w:val="00B519B3"/>
    <w:rsid w:val="00B56743"/>
    <w:rsid w:val="00B6254E"/>
    <w:rsid w:val="00B81845"/>
    <w:rsid w:val="00B8361B"/>
    <w:rsid w:val="00B90AFC"/>
    <w:rsid w:val="00B94992"/>
    <w:rsid w:val="00B95324"/>
    <w:rsid w:val="00BA1F5F"/>
    <w:rsid w:val="00BA55E3"/>
    <w:rsid w:val="00BB097B"/>
    <w:rsid w:val="00BB09E6"/>
    <w:rsid w:val="00BB3A9E"/>
    <w:rsid w:val="00BC282B"/>
    <w:rsid w:val="00BC5E5B"/>
    <w:rsid w:val="00BD126B"/>
    <w:rsid w:val="00BD1A9B"/>
    <w:rsid w:val="00BD5F9F"/>
    <w:rsid w:val="00BE4CD1"/>
    <w:rsid w:val="00BF1D1D"/>
    <w:rsid w:val="00BF2B43"/>
    <w:rsid w:val="00C01832"/>
    <w:rsid w:val="00C05739"/>
    <w:rsid w:val="00C10177"/>
    <w:rsid w:val="00C14C86"/>
    <w:rsid w:val="00C23ED3"/>
    <w:rsid w:val="00C316D6"/>
    <w:rsid w:val="00C323BB"/>
    <w:rsid w:val="00C37740"/>
    <w:rsid w:val="00C446E8"/>
    <w:rsid w:val="00C502D1"/>
    <w:rsid w:val="00C613CE"/>
    <w:rsid w:val="00C614A5"/>
    <w:rsid w:val="00C7174B"/>
    <w:rsid w:val="00C96E08"/>
    <w:rsid w:val="00CA36F6"/>
    <w:rsid w:val="00CA39C3"/>
    <w:rsid w:val="00CA3B3F"/>
    <w:rsid w:val="00CA4EB1"/>
    <w:rsid w:val="00CB02A4"/>
    <w:rsid w:val="00CB3B82"/>
    <w:rsid w:val="00CC0151"/>
    <w:rsid w:val="00CC345E"/>
    <w:rsid w:val="00CC7F91"/>
    <w:rsid w:val="00CD3258"/>
    <w:rsid w:val="00CD43C2"/>
    <w:rsid w:val="00CE44AB"/>
    <w:rsid w:val="00CE6651"/>
    <w:rsid w:val="00CF0E5D"/>
    <w:rsid w:val="00CF444B"/>
    <w:rsid w:val="00CF54EE"/>
    <w:rsid w:val="00CF5C57"/>
    <w:rsid w:val="00D00AD3"/>
    <w:rsid w:val="00D02A44"/>
    <w:rsid w:val="00D14373"/>
    <w:rsid w:val="00D204EF"/>
    <w:rsid w:val="00D22108"/>
    <w:rsid w:val="00D2436B"/>
    <w:rsid w:val="00D25011"/>
    <w:rsid w:val="00D41336"/>
    <w:rsid w:val="00D64322"/>
    <w:rsid w:val="00D65FCB"/>
    <w:rsid w:val="00D72861"/>
    <w:rsid w:val="00D770B7"/>
    <w:rsid w:val="00D85105"/>
    <w:rsid w:val="00D8710E"/>
    <w:rsid w:val="00DA04A0"/>
    <w:rsid w:val="00DA2733"/>
    <w:rsid w:val="00DA403A"/>
    <w:rsid w:val="00DB695D"/>
    <w:rsid w:val="00DC0F9B"/>
    <w:rsid w:val="00DC2800"/>
    <w:rsid w:val="00DC2849"/>
    <w:rsid w:val="00DC38CE"/>
    <w:rsid w:val="00DC530E"/>
    <w:rsid w:val="00DD1D25"/>
    <w:rsid w:val="00DD39DC"/>
    <w:rsid w:val="00DD64C0"/>
    <w:rsid w:val="00DE6141"/>
    <w:rsid w:val="00DF600B"/>
    <w:rsid w:val="00DF731A"/>
    <w:rsid w:val="00E02FE4"/>
    <w:rsid w:val="00E049AF"/>
    <w:rsid w:val="00E05229"/>
    <w:rsid w:val="00E11528"/>
    <w:rsid w:val="00E16D35"/>
    <w:rsid w:val="00E17449"/>
    <w:rsid w:val="00E22672"/>
    <w:rsid w:val="00E31D85"/>
    <w:rsid w:val="00E32CD3"/>
    <w:rsid w:val="00E3670B"/>
    <w:rsid w:val="00E420CA"/>
    <w:rsid w:val="00E443FF"/>
    <w:rsid w:val="00E449A9"/>
    <w:rsid w:val="00E52266"/>
    <w:rsid w:val="00E5666C"/>
    <w:rsid w:val="00E56999"/>
    <w:rsid w:val="00E61A58"/>
    <w:rsid w:val="00E64A13"/>
    <w:rsid w:val="00E64FC3"/>
    <w:rsid w:val="00E7590A"/>
    <w:rsid w:val="00E80C20"/>
    <w:rsid w:val="00E956AC"/>
    <w:rsid w:val="00E96F9F"/>
    <w:rsid w:val="00E97938"/>
    <w:rsid w:val="00EA1DE0"/>
    <w:rsid w:val="00EA4003"/>
    <w:rsid w:val="00EA72F4"/>
    <w:rsid w:val="00EA79E7"/>
    <w:rsid w:val="00EB0C6C"/>
    <w:rsid w:val="00EB31C8"/>
    <w:rsid w:val="00EB543B"/>
    <w:rsid w:val="00EB6736"/>
    <w:rsid w:val="00EC5F53"/>
    <w:rsid w:val="00EC742D"/>
    <w:rsid w:val="00ED1D9B"/>
    <w:rsid w:val="00ED52C2"/>
    <w:rsid w:val="00ED769E"/>
    <w:rsid w:val="00EE0563"/>
    <w:rsid w:val="00EE370D"/>
    <w:rsid w:val="00EF2117"/>
    <w:rsid w:val="00F04CDF"/>
    <w:rsid w:val="00F0538D"/>
    <w:rsid w:val="00F15A94"/>
    <w:rsid w:val="00F15D84"/>
    <w:rsid w:val="00F1728B"/>
    <w:rsid w:val="00F2007F"/>
    <w:rsid w:val="00F21377"/>
    <w:rsid w:val="00F2546E"/>
    <w:rsid w:val="00F25C73"/>
    <w:rsid w:val="00F26ED4"/>
    <w:rsid w:val="00F27599"/>
    <w:rsid w:val="00F3793A"/>
    <w:rsid w:val="00F4149B"/>
    <w:rsid w:val="00F4449E"/>
    <w:rsid w:val="00F45E90"/>
    <w:rsid w:val="00F508F5"/>
    <w:rsid w:val="00F54B79"/>
    <w:rsid w:val="00F62F68"/>
    <w:rsid w:val="00F643A1"/>
    <w:rsid w:val="00F73D26"/>
    <w:rsid w:val="00F74327"/>
    <w:rsid w:val="00F76FF3"/>
    <w:rsid w:val="00F87292"/>
    <w:rsid w:val="00F87D74"/>
    <w:rsid w:val="00F93995"/>
    <w:rsid w:val="00FA4ED5"/>
    <w:rsid w:val="00FA6267"/>
    <w:rsid w:val="00FB1374"/>
    <w:rsid w:val="00FB54C0"/>
    <w:rsid w:val="00FB5730"/>
    <w:rsid w:val="00FC017C"/>
    <w:rsid w:val="00FD2F94"/>
    <w:rsid w:val="00FD54A0"/>
    <w:rsid w:val="00FF0B5E"/>
    <w:rsid w:val="00FF0D0E"/>
    <w:rsid w:val="00FF1BE4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71E"/>
  </w:style>
  <w:style w:type="paragraph" w:styleId="Footer">
    <w:name w:val="footer"/>
    <w:basedOn w:val="Normal"/>
    <w:link w:val="FooterChar"/>
    <w:uiPriority w:val="99"/>
    <w:semiHidden/>
    <w:unhideWhenUsed/>
    <w:rsid w:val="007C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271E"/>
  </w:style>
  <w:style w:type="paragraph" w:styleId="BalloonText">
    <w:name w:val="Balloon Text"/>
    <w:basedOn w:val="Normal"/>
    <w:link w:val="BalloonTextChar"/>
    <w:uiPriority w:val="99"/>
    <w:semiHidden/>
    <w:unhideWhenUsed/>
    <w:rsid w:val="007C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7AA"/>
    <w:rPr>
      <w:color w:val="0000FF" w:themeColor="hyperlink"/>
      <w:u w:val="single"/>
    </w:rPr>
  </w:style>
  <w:style w:type="paragraph" w:customStyle="1" w:styleId="PMOBody">
    <w:name w:val="PMO Body"/>
    <w:basedOn w:val="Normal"/>
    <w:rsid w:val="007349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95324"/>
    <w:pPr>
      <w:spacing w:before="115" w:after="115" w:line="240" w:lineRule="auto"/>
      <w:ind w:left="460" w:right="460"/>
      <w:jc w:val="center"/>
    </w:pPr>
    <w:rPr>
      <w:rFonts w:ascii="Arial" w:eastAsia="Times New Roman" w:hAnsi="Arial" w:cs="Arial"/>
      <w:bCs/>
      <w:color w:val="00000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ia@liq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q.wa.gov/licensing/alcohol-impact-areas-existing-loc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>WSLCB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</dc:creator>
  <cp:keywords/>
  <dc:description/>
  <cp:lastModifiedBy>josa</cp:lastModifiedBy>
  <cp:revision>3</cp:revision>
  <dcterms:created xsi:type="dcterms:W3CDTF">2012-03-29T18:38:00Z</dcterms:created>
  <dcterms:modified xsi:type="dcterms:W3CDTF">2012-03-29T18:38:00Z</dcterms:modified>
</cp:coreProperties>
</file>