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7740"/>
      </w:tblGrid>
      <w:tr w:rsidR="00344A63" w:rsidRPr="00A97C42" w:rsidTr="00BD4515">
        <w:tc>
          <w:tcPr>
            <w:tcW w:w="9558" w:type="dxa"/>
            <w:gridSpan w:val="2"/>
          </w:tcPr>
          <w:p w:rsidR="00344A63" w:rsidRPr="00A97C42" w:rsidRDefault="00344A63" w:rsidP="00BD4515">
            <w:pPr>
              <w:pStyle w:val="PMOBody"/>
              <w:ind w:left="0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344A63" w:rsidRPr="00A97C42" w:rsidTr="00BD4515">
        <w:tc>
          <w:tcPr>
            <w:tcW w:w="9558" w:type="dxa"/>
            <w:gridSpan w:val="2"/>
          </w:tcPr>
          <w:p w:rsidR="00344A63" w:rsidRPr="00344A63" w:rsidRDefault="00344A63" w:rsidP="00344A63">
            <w:pPr>
              <w:pStyle w:val="PMOBody"/>
              <w:spacing w:before="6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344A63">
              <w:rPr>
                <w:rFonts w:ascii="Arial" w:hAnsi="Arial" w:cs="Arial"/>
                <w:b/>
                <w:sz w:val="28"/>
                <w:szCs w:val="28"/>
              </w:rPr>
              <w:t>Alcohol Impact Area Review – Spokane Downtown Urban Core</w:t>
            </w:r>
            <w:r w:rsidRPr="00344A6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344A63" w:rsidRPr="00A97C42" w:rsidTr="00BD4515">
        <w:tc>
          <w:tcPr>
            <w:tcW w:w="1818" w:type="dxa"/>
          </w:tcPr>
          <w:p w:rsidR="00344A63" w:rsidRPr="00A97C42" w:rsidRDefault="00344A63" w:rsidP="00BD4515">
            <w:pPr>
              <w:pStyle w:val="PMOHeading2"/>
              <w:spacing w:before="60"/>
              <w:ind w:left="0"/>
              <w:rPr>
                <w:rFonts w:ascii="Arial" w:hAnsi="Arial" w:cs="Arial"/>
                <w:sz w:val="20"/>
              </w:rPr>
            </w:pPr>
            <w:r w:rsidRPr="00A97C42">
              <w:rPr>
                <w:rFonts w:ascii="Arial" w:hAnsi="Arial" w:cs="Arial"/>
                <w:sz w:val="20"/>
              </w:rPr>
              <w:t xml:space="preserve">Date: </w:t>
            </w:r>
          </w:p>
        </w:tc>
        <w:tc>
          <w:tcPr>
            <w:tcW w:w="7740" w:type="dxa"/>
          </w:tcPr>
          <w:p w:rsidR="00344A63" w:rsidRPr="001245B6" w:rsidRDefault="00344A63" w:rsidP="00BD4515">
            <w:pPr>
              <w:pStyle w:val="PMOHeading2"/>
              <w:spacing w:before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20, 2015</w:t>
            </w:r>
          </w:p>
        </w:tc>
      </w:tr>
      <w:tr w:rsidR="00344A63" w:rsidRPr="00A97C42" w:rsidTr="00BD4515">
        <w:tc>
          <w:tcPr>
            <w:tcW w:w="1818" w:type="dxa"/>
          </w:tcPr>
          <w:p w:rsidR="00344A63" w:rsidRPr="00A97C42" w:rsidRDefault="00344A63" w:rsidP="00BD4515">
            <w:pPr>
              <w:pStyle w:val="PMOHeading2"/>
              <w:spacing w:before="60"/>
              <w:ind w:left="0"/>
              <w:rPr>
                <w:rFonts w:ascii="Arial" w:hAnsi="Arial" w:cs="Arial"/>
                <w:sz w:val="20"/>
              </w:rPr>
            </w:pPr>
            <w:r w:rsidRPr="00A97C42">
              <w:rPr>
                <w:rFonts w:ascii="Arial" w:hAnsi="Arial" w:cs="Arial"/>
                <w:sz w:val="20"/>
              </w:rPr>
              <w:t>Presented by:</w:t>
            </w:r>
          </w:p>
        </w:tc>
        <w:tc>
          <w:tcPr>
            <w:tcW w:w="7740" w:type="dxa"/>
          </w:tcPr>
          <w:p w:rsidR="00344A63" w:rsidRDefault="00344A63" w:rsidP="00BD4515">
            <w:pPr>
              <w:pStyle w:val="PMOHeading2"/>
              <w:spacing w:before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Segawa, Public Health Education Liaison</w:t>
            </w:r>
          </w:p>
          <w:p w:rsidR="00344A63" w:rsidRPr="00A97C42" w:rsidRDefault="00344A63" w:rsidP="00BD4515">
            <w:pPr>
              <w:pStyle w:val="PMOHeading2"/>
              <w:spacing w:before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Director’s Office</w:t>
            </w:r>
          </w:p>
        </w:tc>
      </w:tr>
      <w:tr w:rsidR="00344A63" w:rsidRPr="00A97C42" w:rsidTr="00BD4515">
        <w:tc>
          <w:tcPr>
            <w:tcW w:w="1818" w:type="dxa"/>
          </w:tcPr>
          <w:p w:rsidR="00344A63" w:rsidRPr="00A97C42" w:rsidRDefault="00344A63" w:rsidP="00BD4515">
            <w:pPr>
              <w:pStyle w:val="PMOHeading2"/>
              <w:spacing w:before="6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740" w:type="dxa"/>
          </w:tcPr>
          <w:p w:rsidR="00344A63" w:rsidRDefault="00344A63" w:rsidP="00BD4515">
            <w:pPr>
              <w:pStyle w:val="PMOHeading2"/>
              <w:spacing w:before="60"/>
              <w:ind w:left="0"/>
              <w:rPr>
                <w:rFonts w:ascii="Arial" w:hAnsi="Arial" w:cs="Arial"/>
              </w:rPr>
            </w:pPr>
          </w:p>
        </w:tc>
      </w:tr>
    </w:tbl>
    <w:p w:rsidR="00344A63" w:rsidRPr="000A4971" w:rsidRDefault="00344A63" w:rsidP="00344A63">
      <w:pPr>
        <w:pStyle w:val="PMOHeading2"/>
        <w:spacing w:before="60"/>
        <w:rPr>
          <w:rFonts w:ascii="Arial" w:hAnsi="Arial" w:cs="Arial"/>
          <w:sz w:val="20"/>
        </w:rPr>
      </w:pPr>
    </w:p>
    <w:p w:rsidR="00344A63" w:rsidRPr="000A4971" w:rsidRDefault="00344A63" w:rsidP="00344A63">
      <w:pPr>
        <w:pStyle w:val="PMOHeading2"/>
        <w:spacing w:before="60"/>
        <w:rPr>
          <w:rFonts w:ascii="Arial" w:hAnsi="Arial" w:cs="Arial"/>
          <w:sz w:val="20"/>
        </w:rPr>
      </w:pPr>
      <w:r w:rsidRPr="000A4971">
        <w:rPr>
          <w:rFonts w:ascii="Arial" w:hAnsi="Arial" w:cs="Arial"/>
          <w:sz w:val="20"/>
        </w:rPr>
        <w:t>Background</w:t>
      </w:r>
    </w:p>
    <w:p w:rsidR="00344A63" w:rsidRPr="000A4971" w:rsidRDefault="00344A63" w:rsidP="00344A63">
      <w:pPr>
        <w:pStyle w:val="PMOBody"/>
        <w:spacing w:before="60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720" w:type="dxa"/>
        <w:tblLook w:val="04A0" w:firstRow="1" w:lastRow="0" w:firstColumn="1" w:lastColumn="0" w:noHBand="0" w:noVBand="1"/>
      </w:tblPr>
      <w:tblGrid>
        <w:gridCol w:w="9720"/>
      </w:tblGrid>
      <w:tr w:rsidR="00344A63" w:rsidRPr="00A97C42" w:rsidTr="00BD4515">
        <w:tc>
          <w:tcPr>
            <w:tcW w:w="9720" w:type="dxa"/>
          </w:tcPr>
          <w:p w:rsidR="007536FB" w:rsidRPr="00D70C03" w:rsidRDefault="00344A63" w:rsidP="007536FB">
            <w:pPr>
              <w:pStyle w:val="PMOBody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7536FB">
              <w:rPr>
                <w:rFonts w:ascii="Arial" w:hAnsi="Arial" w:cs="Arial"/>
                <w:sz w:val="20"/>
                <w:szCs w:val="20"/>
              </w:rPr>
              <w:t>April 7</w:t>
            </w:r>
            <w:r>
              <w:rPr>
                <w:rFonts w:ascii="Arial" w:hAnsi="Arial" w:cs="Arial"/>
                <w:sz w:val="20"/>
                <w:szCs w:val="20"/>
              </w:rPr>
              <w:t>, 2010, at the request of the city of Spokane, the Board granted recognition of the Downtown Alcohol Impact Area</w:t>
            </w:r>
            <w:r w:rsidR="007536FB">
              <w:rPr>
                <w:rFonts w:ascii="Arial" w:hAnsi="Arial" w:cs="Arial"/>
                <w:sz w:val="20"/>
                <w:szCs w:val="20"/>
              </w:rPr>
              <w:t>, with implementation effective May 15, 2010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90D81">
              <w:rPr>
                <w:rFonts w:ascii="Arial" w:hAnsi="Arial" w:cs="Arial"/>
                <w:sz w:val="20"/>
                <w:szCs w:val="20"/>
              </w:rPr>
              <w:t xml:space="preserve">Per WAC 314-12-215, this document provides a review of the data submitted to the Liquor Control Board in the </w:t>
            </w:r>
            <w:r w:rsidR="00A5271D">
              <w:rPr>
                <w:rFonts w:ascii="Arial" w:hAnsi="Arial" w:cs="Arial"/>
                <w:sz w:val="20"/>
                <w:szCs w:val="20"/>
              </w:rPr>
              <w:t xml:space="preserve">annual </w:t>
            </w:r>
            <w:r w:rsidR="00190D81">
              <w:rPr>
                <w:rFonts w:ascii="Arial" w:hAnsi="Arial" w:cs="Arial"/>
                <w:sz w:val="20"/>
                <w:szCs w:val="20"/>
              </w:rPr>
              <w:t xml:space="preserve">reports </w:t>
            </w:r>
            <w:r w:rsidR="00A5271D">
              <w:rPr>
                <w:rFonts w:ascii="Arial" w:hAnsi="Arial" w:cs="Arial"/>
                <w:sz w:val="20"/>
                <w:szCs w:val="20"/>
              </w:rPr>
              <w:t>covering 2010 through 2014.</w:t>
            </w:r>
          </w:p>
          <w:p w:rsidR="00344A63" w:rsidRPr="00D70C03" w:rsidRDefault="00344A63" w:rsidP="00BD4515">
            <w:pPr>
              <w:pStyle w:val="PMOBody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71D" w:rsidRDefault="00A5271D" w:rsidP="00A5271D">
      <w:pPr>
        <w:rPr>
          <w:rFonts w:cs="Arial"/>
          <w:szCs w:val="20"/>
        </w:rPr>
      </w:pPr>
    </w:p>
    <w:p w:rsidR="00A5271D" w:rsidRDefault="00A5271D" w:rsidP="00A5271D">
      <w:pPr>
        <w:rPr>
          <w:rFonts w:cs="Arial"/>
          <w:szCs w:val="20"/>
        </w:rPr>
      </w:pPr>
    </w:p>
    <w:p w:rsidR="00A5271D" w:rsidRPr="00A5271D" w:rsidRDefault="00A5271D" w:rsidP="00A5271D">
      <w:pPr>
        <w:ind w:firstLine="720"/>
        <w:rPr>
          <w:rFonts w:cs="Arial"/>
          <w:b/>
        </w:rPr>
      </w:pPr>
      <w:r w:rsidRPr="00A5271D">
        <w:rPr>
          <w:rFonts w:cs="Arial"/>
          <w:b/>
        </w:rPr>
        <w:t>Findings</w:t>
      </w:r>
    </w:p>
    <w:p w:rsidR="00344A63" w:rsidRPr="000A4971" w:rsidRDefault="00344A63" w:rsidP="00344A63">
      <w:pPr>
        <w:pStyle w:val="PMOHeading2"/>
        <w:spacing w:before="60"/>
        <w:rPr>
          <w:rFonts w:ascii="Arial" w:hAnsi="Arial" w:cs="Arial"/>
          <w:color w:val="808080"/>
          <w:sz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344A63" w:rsidRPr="00A97C42" w:rsidTr="00BD4515">
        <w:tc>
          <w:tcPr>
            <w:tcW w:w="9576" w:type="dxa"/>
          </w:tcPr>
          <w:p w:rsidR="00344A63" w:rsidRPr="00A97C42" w:rsidRDefault="00A5271D" w:rsidP="008F3F63">
            <w:pPr>
              <w:pStyle w:val="PMOBody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Spokane’s total numbers of calls for service are up over the last 5 years by a total of 26%. However, calls closely related to alcohol consumption are down. These include calls for liquor violation, panhandling, detox calls for service. This is a strong indicator that the Alcohol Impact Area designation is having a positive effect. </w:t>
            </w:r>
            <w:r w:rsidR="00344A6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44A63" w:rsidRPr="00A97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44A63" w:rsidRDefault="00344A63" w:rsidP="00344A63">
      <w:pPr>
        <w:pStyle w:val="PMOBody"/>
        <w:spacing w:before="60"/>
        <w:rPr>
          <w:rFonts w:ascii="Arial" w:hAnsi="Arial" w:cs="Arial"/>
          <w:sz w:val="20"/>
          <w:szCs w:val="20"/>
        </w:rPr>
      </w:pPr>
    </w:p>
    <w:p w:rsidR="00A5271D" w:rsidRDefault="00A5271D" w:rsidP="00344A63">
      <w:pPr>
        <w:pStyle w:val="PMOBody"/>
        <w:spacing w:before="60"/>
        <w:rPr>
          <w:rFonts w:ascii="Arial" w:hAnsi="Arial" w:cs="Arial"/>
          <w:sz w:val="20"/>
          <w:szCs w:val="20"/>
        </w:rPr>
      </w:pPr>
    </w:p>
    <w:p w:rsidR="00A5271D" w:rsidRDefault="00A5271D" w:rsidP="00344A63">
      <w:pPr>
        <w:pStyle w:val="PMOBody"/>
        <w:spacing w:before="6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0413257" wp14:editId="40353010">
            <wp:extent cx="6067425" cy="261937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271D" w:rsidRDefault="00A5271D" w:rsidP="00344A63">
      <w:pPr>
        <w:pStyle w:val="PMOBody"/>
        <w:spacing w:before="60"/>
        <w:rPr>
          <w:rFonts w:ascii="Arial" w:hAnsi="Arial" w:cs="Arial"/>
          <w:sz w:val="20"/>
          <w:szCs w:val="20"/>
        </w:rPr>
      </w:pPr>
    </w:p>
    <w:p w:rsidR="00A5271D" w:rsidRDefault="00A5271D" w:rsidP="00344A63">
      <w:pPr>
        <w:pStyle w:val="PMOBody"/>
        <w:spacing w:before="60"/>
        <w:rPr>
          <w:rFonts w:ascii="Arial" w:hAnsi="Arial" w:cs="Arial"/>
          <w:sz w:val="20"/>
          <w:szCs w:val="20"/>
        </w:rPr>
      </w:pPr>
    </w:p>
    <w:p w:rsidR="00A5271D" w:rsidRDefault="00A5271D" w:rsidP="00344A63">
      <w:pPr>
        <w:pStyle w:val="PMOBody"/>
        <w:spacing w:before="6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261DE53" wp14:editId="7F9ABFBC">
            <wp:extent cx="5943600" cy="33051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271D" w:rsidRDefault="00A5271D" w:rsidP="00344A63">
      <w:pPr>
        <w:pStyle w:val="PMOBody"/>
        <w:spacing w:before="60"/>
        <w:rPr>
          <w:rFonts w:ascii="Arial" w:hAnsi="Arial" w:cs="Arial"/>
          <w:sz w:val="20"/>
          <w:szCs w:val="20"/>
        </w:rPr>
      </w:pPr>
    </w:p>
    <w:p w:rsidR="00344A63" w:rsidRDefault="00344A63" w:rsidP="008F3F63">
      <w:pPr>
        <w:rPr>
          <w:rFonts w:cs="Arial"/>
          <w:szCs w:val="20"/>
        </w:rPr>
      </w:pPr>
    </w:p>
    <w:p w:rsidR="008F3F63" w:rsidRPr="008F3F63" w:rsidRDefault="008F3F63" w:rsidP="008F3F63">
      <w:pPr>
        <w:rPr>
          <w:rFonts w:cs="Arial"/>
          <w:b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344A63" w:rsidRPr="00A97C42" w:rsidTr="00BD4515">
        <w:tc>
          <w:tcPr>
            <w:tcW w:w="9576" w:type="dxa"/>
          </w:tcPr>
          <w:p w:rsidR="00B83177" w:rsidRDefault="00B83177" w:rsidP="00F306D1">
            <w:pPr>
              <w:pStyle w:val="PMOBody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 from</w:t>
            </w:r>
            <w:r w:rsidR="00344A63" w:rsidRPr="00A97C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community, </w:t>
            </w:r>
            <w:r w:rsidR="00F306D1">
              <w:rPr>
                <w:rFonts w:ascii="Arial" w:hAnsi="Arial" w:cs="Arial"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the Downtown Spokane Partnership</w:t>
            </w:r>
            <w:r w:rsidR="00F306D1">
              <w:rPr>
                <w:rFonts w:ascii="Arial" w:hAnsi="Arial" w:cs="Arial"/>
                <w:sz w:val="20"/>
                <w:szCs w:val="20"/>
              </w:rPr>
              <w:t>, WSU Campus Security, and Downtown Security Ambassadors</w:t>
            </w:r>
            <w:r>
              <w:rPr>
                <w:rFonts w:ascii="Arial" w:hAnsi="Arial" w:cs="Arial"/>
                <w:sz w:val="20"/>
                <w:szCs w:val="20"/>
              </w:rPr>
              <w:t>, have shown continued support for the Alcohol Impact Area designation</w:t>
            </w:r>
            <w:r w:rsidR="00F306D1">
              <w:rPr>
                <w:rFonts w:ascii="Arial" w:hAnsi="Arial" w:cs="Arial"/>
                <w:sz w:val="20"/>
                <w:szCs w:val="20"/>
              </w:rPr>
              <w:t xml:space="preserve"> due to decreases in alcohol-related issues. However, the Downtown Security Ambassadors did note in their most recent report that they have noticed more issues with hard alcohol consumption since privatization of liquor sales.</w:t>
            </w:r>
          </w:p>
          <w:p w:rsidR="00B83177" w:rsidRPr="00A97C42" w:rsidRDefault="00B83177" w:rsidP="00B83177">
            <w:pPr>
              <w:pStyle w:val="PMOBody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4A63" w:rsidRPr="000A4971" w:rsidRDefault="00344A63" w:rsidP="00344A63">
      <w:pPr>
        <w:pStyle w:val="PMOBody"/>
        <w:spacing w:before="60"/>
        <w:rPr>
          <w:rFonts w:ascii="Arial" w:hAnsi="Arial" w:cs="Arial"/>
          <w:sz w:val="20"/>
          <w:szCs w:val="20"/>
        </w:rPr>
      </w:pPr>
    </w:p>
    <w:p w:rsidR="00344A63" w:rsidRPr="000A4971" w:rsidRDefault="00F306D1" w:rsidP="00344A63">
      <w:pPr>
        <w:pStyle w:val="PMOHeading2"/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Summary</w:t>
      </w:r>
    </w:p>
    <w:p w:rsidR="00344A63" w:rsidRPr="000A4971" w:rsidRDefault="00344A63" w:rsidP="00F306D1">
      <w:pPr>
        <w:pStyle w:val="PMOHeading2"/>
        <w:spacing w:before="60"/>
        <w:ind w:left="0"/>
        <w:rPr>
          <w:rFonts w:ascii="Arial" w:hAnsi="Arial" w:cs="Arial"/>
          <w:sz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344A63" w:rsidRPr="00A97C42" w:rsidTr="00BD4515">
        <w:tc>
          <w:tcPr>
            <w:tcW w:w="9576" w:type="dxa"/>
          </w:tcPr>
          <w:p w:rsidR="00344A63" w:rsidRPr="00C04D7D" w:rsidRDefault="00344A63" w:rsidP="00BD4515">
            <w:pPr>
              <w:pStyle w:val="PMOHeading2"/>
              <w:spacing w:before="60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44A63" w:rsidRPr="00A97C42" w:rsidRDefault="00F306D1" w:rsidP="00BD4515">
            <w:pPr>
              <w:pStyle w:val="PMOHeading2"/>
              <w:spacing w:before="60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The Alcohol Impact Area designation for the Spokane Downto</w:t>
            </w:r>
            <w:r w:rsidR="00E55E4D">
              <w:rPr>
                <w:rFonts w:ascii="Arial" w:hAnsi="Arial" w:cs="Arial"/>
                <w:b w:val="0"/>
                <w:sz w:val="20"/>
              </w:rPr>
              <w:t>wn Urban Core continues to show positive results and community support. According to the most recent report, the sale of spirits will be a future focus to ensure the objectives of the Alcohol Impact Area continue to be met.</w:t>
            </w:r>
            <w:bookmarkStart w:id="0" w:name="_GoBack"/>
            <w:bookmarkEnd w:id="0"/>
          </w:p>
        </w:tc>
      </w:tr>
    </w:tbl>
    <w:p w:rsidR="00344A63" w:rsidRPr="00C04D7D" w:rsidRDefault="00344A63" w:rsidP="00F306D1">
      <w:pPr>
        <w:pStyle w:val="PMOHeading2"/>
        <w:spacing w:before="60"/>
        <w:rPr>
          <w:rFonts w:ascii="Arial" w:hAnsi="Arial" w:cs="Arial"/>
          <w:b w:val="0"/>
          <w:sz w:val="16"/>
          <w:szCs w:val="16"/>
        </w:rPr>
      </w:pPr>
    </w:p>
    <w:sectPr w:rsidR="00344A63" w:rsidRPr="00C04D7D" w:rsidSect="00344A63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63" w:rsidRDefault="00344A63" w:rsidP="00344A63">
      <w:r>
        <w:separator/>
      </w:r>
    </w:p>
  </w:endnote>
  <w:endnote w:type="continuationSeparator" w:id="0">
    <w:p w:rsidR="00344A63" w:rsidRDefault="00344A63" w:rsidP="0034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DD" w:rsidRDefault="00E55E4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E55E4D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1E4CDD" w:rsidRDefault="00E5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63" w:rsidRDefault="00344A63" w:rsidP="00344A63">
      <w:r>
        <w:separator/>
      </w:r>
    </w:p>
  </w:footnote>
  <w:footnote w:type="continuationSeparator" w:id="0">
    <w:p w:rsidR="00344A63" w:rsidRDefault="00344A63" w:rsidP="00344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8" w:type="dxa"/>
      <w:jc w:val="center"/>
      <w:tblLook w:val="04A0" w:firstRow="1" w:lastRow="0" w:firstColumn="1" w:lastColumn="0" w:noHBand="0" w:noVBand="1"/>
    </w:tblPr>
    <w:tblGrid>
      <w:gridCol w:w="5868"/>
      <w:gridCol w:w="3690"/>
    </w:tblGrid>
    <w:tr w:rsidR="001E4CDD" w:rsidRPr="005801CD" w:rsidTr="000A2C89">
      <w:trPr>
        <w:jc w:val="center"/>
      </w:trPr>
      <w:tc>
        <w:tcPr>
          <w:tcW w:w="5868" w:type="dxa"/>
          <w:vAlign w:val="center"/>
        </w:tcPr>
        <w:p w:rsidR="001E4CDD" w:rsidRPr="00B62EDF" w:rsidRDefault="00E55E4D" w:rsidP="004038BA">
          <w:pPr>
            <w:pStyle w:val="Header"/>
          </w:pPr>
          <w:r>
            <w:rPr>
              <w:i/>
              <w:noProof/>
            </w:rPr>
            <w:drawing>
              <wp:inline distT="0" distB="0" distL="0" distR="0" wp14:anchorId="6047C7BC" wp14:editId="3CC67062">
                <wp:extent cx="2328545" cy="425450"/>
                <wp:effectExtent l="19050" t="0" r="0" b="0"/>
                <wp:docPr id="3" name="Picture 1" descr="new logo-bw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-bw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8545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  <w:vAlign w:val="bottom"/>
        </w:tcPr>
        <w:p w:rsidR="001E4CDD" w:rsidRPr="005801CD" w:rsidRDefault="00344A63" w:rsidP="005801CD">
          <w:pPr>
            <w:pStyle w:val="Header"/>
            <w:tabs>
              <w:tab w:val="clear" w:pos="4320"/>
              <w:tab w:val="center" w:pos="4212"/>
            </w:tabs>
            <w:jc w:val="right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>Report to the Board</w:t>
          </w:r>
        </w:p>
      </w:tc>
    </w:tr>
  </w:tbl>
  <w:p w:rsidR="001E4CDD" w:rsidRDefault="00E55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43CCC"/>
    <w:multiLevelType w:val="hybridMultilevel"/>
    <w:tmpl w:val="6C128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63"/>
    <w:rsid w:val="00190D81"/>
    <w:rsid w:val="00344A63"/>
    <w:rsid w:val="007536FB"/>
    <w:rsid w:val="008F3F63"/>
    <w:rsid w:val="00A5271D"/>
    <w:rsid w:val="00B83177"/>
    <w:rsid w:val="00E55E4D"/>
    <w:rsid w:val="00F306D1"/>
    <w:rsid w:val="00F5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63"/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4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A63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344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A63"/>
    <w:rPr>
      <w:rFonts w:ascii="Arial" w:eastAsia="Times New Roman" w:hAnsi="Arial" w:cs="Times New Roman"/>
      <w:sz w:val="20"/>
      <w:szCs w:val="24"/>
    </w:rPr>
  </w:style>
  <w:style w:type="paragraph" w:customStyle="1" w:styleId="PMOBody">
    <w:name w:val="PMO Body"/>
    <w:basedOn w:val="Normal"/>
    <w:rsid w:val="00344A63"/>
    <w:pPr>
      <w:ind w:left="720"/>
    </w:pPr>
    <w:rPr>
      <w:rFonts w:ascii="Times New Roman" w:hAnsi="Times New Roman"/>
      <w:sz w:val="24"/>
    </w:rPr>
  </w:style>
  <w:style w:type="paragraph" w:customStyle="1" w:styleId="PMOHeading2">
    <w:name w:val="PMO Heading 2"/>
    <w:basedOn w:val="Heading2"/>
    <w:rsid w:val="00344A63"/>
    <w:pPr>
      <w:keepLines w:val="0"/>
      <w:spacing w:before="0"/>
      <w:ind w:left="720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customStyle="1" w:styleId="PMOHeadingInstruction">
    <w:name w:val="PMO Heading Instruction"/>
    <w:basedOn w:val="Normal"/>
    <w:rsid w:val="00344A63"/>
    <w:pPr>
      <w:ind w:left="720"/>
    </w:pPr>
    <w:rPr>
      <w:rFonts w:ascii="Times New Roman" w:hAnsi="Times New Roman"/>
      <w:color w:val="808080"/>
    </w:rPr>
  </w:style>
  <w:style w:type="table" w:styleId="TableGrid">
    <w:name w:val="Table Grid"/>
    <w:basedOn w:val="TableNormal"/>
    <w:rsid w:val="00344A6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44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63"/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4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A63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344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A63"/>
    <w:rPr>
      <w:rFonts w:ascii="Arial" w:eastAsia="Times New Roman" w:hAnsi="Arial" w:cs="Times New Roman"/>
      <w:sz w:val="20"/>
      <w:szCs w:val="24"/>
    </w:rPr>
  </w:style>
  <w:style w:type="paragraph" w:customStyle="1" w:styleId="PMOBody">
    <w:name w:val="PMO Body"/>
    <w:basedOn w:val="Normal"/>
    <w:rsid w:val="00344A63"/>
    <w:pPr>
      <w:ind w:left="720"/>
    </w:pPr>
    <w:rPr>
      <w:rFonts w:ascii="Times New Roman" w:hAnsi="Times New Roman"/>
      <w:sz w:val="24"/>
    </w:rPr>
  </w:style>
  <w:style w:type="paragraph" w:customStyle="1" w:styleId="PMOHeading2">
    <w:name w:val="PMO Heading 2"/>
    <w:basedOn w:val="Heading2"/>
    <w:rsid w:val="00344A63"/>
    <w:pPr>
      <w:keepLines w:val="0"/>
      <w:spacing w:before="0"/>
      <w:ind w:left="720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customStyle="1" w:styleId="PMOHeadingInstruction">
    <w:name w:val="PMO Heading Instruction"/>
    <w:basedOn w:val="Normal"/>
    <w:rsid w:val="00344A63"/>
    <w:pPr>
      <w:ind w:left="720"/>
    </w:pPr>
    <w:rPr>
      <w:rFonts w:ascii="Times New Roman" w:hAnsi="Times New Roman"/>
      <w:color w:val="808080"/>
    </w:rPr>
  </w:style>
  <w:style w:type="table" w:styleId="TableGrid">
    <w:name w:val="Table Grid"/>
    <w:basedOn w:val="TableNormal"/>
    <w:rsid w:val="00344A6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44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Spokane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3"/>
          <c:order val="0"/>
          <c:tx>
            <c:strRef>
              <c:f>Sheet1!$C$14</c:f>
              <c:strCache>
                <c:ptCount val="1"/>
                <c:pt idx="0">
                  <c:v>Total calls related to alcohol consumption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Sheet1!$D$10:$I$10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Sheet1!$D$14:$I$14</c:f>
              <c:numCache>
                <c:formatCode>General</c:formatCode>
                <c:ptCount val="6"/>
                <c:pt idx="0">
                  <c:v>648</c:v>
                </c:pt>
                <c:pt idx="1">
                  <c:v>446</c:v>
                </c:pt>
                <c:pt idx="2">
                  <c:v>541</c:v>
                </c:pt>
                <c:pt idx="3">
                  <c:v>460</c:v>
                </c:pt>
                <c:pt idx="4">
                  <c:v>500</c:v>
                </c:pt>
                <c:pt idx="5">
                  <c:v>339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947968"/>
        <c:axId val="95305728"/>
      </c:barChart>
      <c:catAx>
        <c:axId val="13294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5305728"/>
        <c:crosses val="autoZero"/>
        <c:auto val="1"/>
        <c:lblAlgn val="ctr"/>
        <c:lblOffset val="100"/>
        <c:noMultiLvlLbl val="0"/>
      </c:catAx>
      <c:valAx>
        <c:axId val="95305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9479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Total calls 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Sheet1!$D$2:$I$2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Sheet1!$D$3:$I$3</c:f>
              <c:numCache>
                <c:formatCode>General</c:formatCode>
                <c:ptCount val="6"/>
                <c:pt idx="0">
                  <c:v>6355</c:v>
                </c:pt>
                <c:pt idx="1">
                  <c:v>5492</c:v>
                </c:pt>
                <c:pt idx="2">
                  <c:v>6065</c:v>
                </c:pt>
                <c:pt idx="3">
                  <c:v>6345</c:v>
                </c:pt>
                <c:pt idx="4">
                  <c:v>7638</c:v>
                </c:pt>
                <c:pt idx="5">
                  <c:v>7980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829632"/>
        <c:axId val="129496192"/>
      </c:barChart>
      <c:catAx>
        <c:axId val="123829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9496192"/>
        <c:crosses val="autoZero"/>
        <c:auto val="1"/>
        <c:lblAlgn val="ctr"/>
        <c:lblOffset val="100"/>
        <c:noMultiLvlLbl val="0"/>
      </c:catAx>
      <c:valAx>
        <c:axId val="129496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8296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PROFILER</cp:lastModifiedBy>
  <cp:revision>1</cp:revision>
  <cp:lastPrinted>2015-05-18T22:14:00Z</cp:lastPrinted>
  <dcterms:created xsi:type="dcterms:W3CDTF">2015-05-18T21:00:00Z</dcterms:created>
  <dcterms:modified xsi:type="dcterms:W3CDTF">2015-05-18T22:16:00Z</dcterms:modified>
</cp:coreProperties>
</file>