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ook w:val="04A0"/>
      </w:tblPr>
      <w:tblGrid>
        <w:gridCol w:w="1818"/>
        <w:gridCol w:w="7740"/>
      </w:tblGrid>
      <w:tr w:rsidR="002E503D" w:rsidRPr="00A97C42" w:rsidTr="00A97C42">
        <w:tc>
          <w:tcPr>
            <w:tcW w:w="9558" w:type="dxa"/>
            <w:gridSpan w:val="2"/>
          </w:tcPr>
          <w:p w:rsidR="002E503D" w:rsidRPr="00A97C42" w:rsidRDefault="002E503D" w:rsidP="00A97C42">
            <w:pPr>
              <w:pStyle w:val="PMOBody"/>
              <w:ind w:left="0"/>
              <w:rPr>
                <w:rFonts w:ascii="Calibri" w:hAnsi="Calibri"/>
                <w:b/>
                <w:sz w:val="32"/>
                <w:szCs w:val="32"/>
              </w:rPr>
            </w:pPr>
          </w:p>
        </w:tc>
      </w:tr>
      <w:tr w:rsidR="002E503D" w:rsidRPr="00A97C42" w:rsidTr="00A97C42">
        <w:tc>
          <w:tcPr>
            <w:tcW w:w="9558" w:type="dxa"/>
            <w:gridSpan w:val="2"/>
          </w:tcPr>
          <w:p w:rsidR="002E503D" w:rsidRDefault="00836CB3" w:rsidP="00836CB3">
            <w:pPr>
              <w:pStyle w:val="PMOBody"/>
              <w:spacing w:before="60"/>
              <w:ind w:left="0"/>
              <w:rPr>
                <w:rFonts w:ascii="Arial" w:hAnsi="Arial" w:cs="Arial"/>
                <w:b/>
                <w:sz w:val="32"/>
                <w:szCs w:val="32"/>
              </w:rPr>
            </w:pPr>
            <w:r>
              <w:rPr>
                <w:rFonts w:ascii="Arial" w:hAnsi="Arial" w:cs="Arial"/>
                <w:b/>
                <w:sz w:val="32"/>
                <w:szCs w:val="32"/>
              </w:rPr>
              <w:t xml:space="preserve">Petition from the city of Spokane – </w:t>
            </w:r>
          </w:p>
          <w:p w:rsidR="00836CB3" w:rsidRPr="00A97C42" w:rsidRDefault="00836CB3" w:rsidP="00836CB3">
            <w:pPr>
              <w:pStyle w:val="PMOBody"/>
              <w:spacing w:before="60"/>
              <w:ind w:left="0"/>
              <w:rPr>
                <w:rFonts w:ascii="Arial" w:hAnsi="Arial" w:cs="Arial"/>
                <w:b/>
                <w:sz w:val="32"/>
                <w:szCs w:val="32"/>
              </w:rPr>
            </w:pPr>
            <w:r>
              <w:rPr>
                <w:rFonts w:ascii="Arial" w:hAnsi="Arial" w:cs="Arial"/>
                <w:b/>
                <w:sz w:val="32"/>
                <w:szCs w:val="32"/>
              </w:rPr>
              <w:t>Initiate the process to recognize the East Central Alcohol Impact Area</w:t>
            </w:r>
          </w:p>
        </w:tc>
      </w:tr>
      <w:tr w:rsidR="002E503D" w:rsidRPr="00A97C42" w:rsidTr="00A97C42">
        <w:tc>
          <w:tcPr>
            <w:tcW w:w="1818" w:type="dxa"/>
          </w:tcPr>
          <w:p w:rsidR="002E503D" w:rsidRPr="00A97C42" w:rsidRDefault="002E503D" w:rsidP="00A97C42">
            <w:pPr>
              <w:pStyle w:val="PMOHeading2"/>
              <w:spacing w:before="60"/>
              <w:ind w:left="0"/>
              <w:rPr>
                <w:rFonts w:ascii="Arial" w:hAnsi="Arial" w:cs="Arial"/>
                <w:sz w:val="20"/>
              </w:rPr>
            </w:pPr>
            <w:r w:rsidRPr="00A97C42">
              <w:rPr>
                <w:rFonts w:ascii="Arial" w:hAnsi="Arial" w:cs="Arial"/>
                <w:sz w:val="20"/>
              </w:rPr>
              <w:t xml:space="preserve">Date: </w:t>
            </w:r>
          </w:p>
        </w:tc>
        <w:tc>
          <w:tcPr>
            <w:tcW w:w="7740" w:type="dxa"/>
          </w:tcPr>
          <w:p w:rsidR="002E503D" w:rsidRPr="001245B6" w:rsidRDefault="00855159" w:rsidP="009F27B1">
            <w:pPr>
              <w:pStyle w:val="PMOHeading2"/>
              <w:spacing w:before="60"/>
              <w:ind w:left="0"/>
              <w:rPr>
                <w:rFonts w:ascii="Arial" w:hAnsi="Arial" w:cs="Arial"/>
              </w:rPr>
            </w:pPr>
            <w:r>
              <w:rPr>
                <w:rFonts w:ascii="Arial" w:hAnsi="Arial" w:cs="Arial"/>
              </w:rPr>
              <w:t xml:space="preserve">May 9, </w:t>
            </w:r>
            <w:r w:rsidR="001245B6" w:rsidRPr="001245B6">
              <w:rPr>
                <w:rFonts w:ascii="Arial" w:hAnsi="Arial" w:cs="Arial"/>
              </w:rPr>
              <w:t>2012</w:t>
            </w:r>
          </w:p>
        </w:tc>
      </w:tr>
      <w:tr w:rsidR="002E503D" w:rsidRPr="00A97C42" w:rsidTr="00A97C42">
        <w:tc>
          <w:tcPr>
            <w:tcW w:w="1818" w:type="dxa"/>
          </w:tcPr>
          <w:p w:rsidR="002E503D" w:rsidRPr="00A97C42" w:rsidRDefault="002E503D" w:rsidP="00A97C42">
            <w:pPr>
              <w:pStyle w:val="PMOHeading2"/>
              <w:spacing w:before="60"/>
              <w:ind w:left="0"/>
              <w:rPr>
                <w:rFonts w:ascii="Arial" w:hAnsi="Arial" w:cs="Arial"/>
                <w:sz w:val="20"/>
              </w:rPr>
            </w:pPr>
            <w:r w:rsidRPr="00A97C42">
              <w:rPr>
                <w:rFonts w:ascii="Arial" w:hAnsi="Arial" w:cs="Arial"/>
                <w:sz w:val="20"/>
              </w:rPr>
              <w:t>Presented by:</w:t>
            </w:r>
          </w:p>
        </w:tc>
        <w:tc>
          <w:tcPr>
            <w:tcW w:w="7740" w:type="dxa"/>
          </w:tcPr>
          <w:p w:rsidR="002E503D" w:rsidRDefault="001A61F1" w:rsidP="00A97C42">
            <w:pPr>
              <w:pStyle w:val="PMOHeading2"/>
              <w:spacing w:before="60"/>
              <w:ind w:left="0"/>
              <w:rPr>
                <w:rFonts w:ascii="Arial" w:hAnsi="Arial" w:cs="Arial"/>
              </w:rPr>
            </w:pPr>
            <w:r>
              <w:rPr>
                <w:rFonts w:ascii="Arial" w:hAnsi="Arial" w:cs="Arial"/>
              </w:rPr>
              <w:t>Jo Ann Sample, Management Analyst</w:t>
            </w:r>
          </w:p>
          <w:p w:rsidR="001A61F1" w:rsidRPr="00A97C42" w:rsidRDefault="001A61F1" w:rsidP="00A97C42">
            <w:pPr>
              <w:pStyle w:val="PMOHeading2"/>
              <w:spacing w:before="60"/>
              <w:ind w:left="0"/>
              <w:rPr>
                <w:rFonts w:ascii="Arial" w:hAnsi="Arial" w:cs="Arial"/>
              </w:rPr>
            </w:pPr>
            <w:r>
              <w:rPr>
                <w:rFonts w:ascii="Arial" w:hAnsi="Arial" w:cs="Arial"/>
              </w:rPr>
              <w:t>Licensing and Regulation Division</w:t>
            </w:r>
          </w:p>
        </w:tc>
      </w:tr>
      <w:tr w:rsidR="001A61F1" w:rsidRPr="00A97C42" w:rsidTr="00A97C42">
        <w:tc>
          <w:tcPr>
            <w:tcW w:w="1818" w:type="dxa"/>
          </w:tcPr>
          <w:p w:rsidR="001A61F1" w:rsidRPr="00A97C42" w:rsidRDefault="001A61F1" w:rsidP="00A97C42">
            <w:pPr>
              <w:pStyle w:val="PMOHeading2"/>
              <w:spacing w:before="60"/>
              <w:ind w:left="0"/>
              <w:rPr>
                <w:rFonts w:ascii="Arial" w:hAnsi="Arial" w:cs="Arial"/>
                <w:sz w:val="20"/>
              </w:rPr>
            </w:pPr>
          </w:p>
        </w:tc>
        <w:tc>
          <w:tcPr>
            <w:tcW w:w="7740" w:type="dxa"/>
          </w:tcPr>
          <w:p w:rsidR="001A61F1" w:rsidRDefault="001A61F1" w:rsidP="00A97C42">
            <w:pPr>
              <w:pStyle w:val="PMOHeading2"/>
              <w:spacing w:before="60"/>
              <w:ind w:left="0"/>
              <w:rPr>
                <w:rFonts w:ascii="Arial" w:hAnsi="Arial" w:cs="Arial"/>
              </w:rPr>
            </w:pPr>
          </w:p>
        </w:tc>
      </w:tr>
    </w:tbl>
    <w:p w:rsidR="006966F5" w:rsidRPr="000A4971" w:rsidRDefault="006966F5" w:rsidP="000A4971">
      <w:pPr>
        <w:pStyle w:val="PMOHeading2"/>
        <w:spacing w:before="60"/>
        <w:rPr>
          <w:rFonts w:ascii="Arial" w:hAnsi="Arial" w:cs="Arial"/>
          <w:sz w:val="20"/>
        </w:rPr>
      </w:pPr>
      <w:r w:rsidRPr="000A4971">
        <w:rPr>
          <w:rFonts w:ascii="Arial" w:hAnsi="Arial" w:cs="Arial"/>
          <w:sz w:val="20"/>
        </w:rPr>
        <w:t>Problem or Opportunity</w:t>
      </w:r>
    </w:p>
    <w:tbl>
      <w:tblPr>
        <w:tblW w:w="0" w:type="auto"/>
        <w:tblInd w:w="720" w:type="dxa"/>
        <w:tblLook w:val="04A0"/>
      </w:tblPr>
      <w:tblGrid>
        <w:gridCol w:w="9720"/>
      </w:tblGrid>
      <w:tr w:rsidR="0004571A" w:rsidTr="001A61F1">
        <w:tc>
          <w:tcPr>
            <w:tcW w:w="9720" w:type="dxa"/>
          </w:tcPr>
          <w:p w:rsidR="0004571A" w:rsidRPr="00D70C03" w:rsidRDefault="00495E12" w:rsidP="00003CBB">
            <w:pPr>
              <w:pStyle w:val="PMOBody"/>
              <w:spacing w:before="60"/>
              <w:ind w:left="0"/>
              <w:rPr>
                <w:rFonts w:ascii="Arial" w:hAnsi="Arial" w:cs="Arial"/>
                <w:sz w:val="20"/>
                <w:szCs w:val="20"/>
              </w:rPr>
            </w:pPr>
            <w:r>
              <w:rPr>
                <w:rFonts w:ascii="Arial" w:hAnsi="Arial" w:cs="Arial"/>
                <w:sz w:val="20"/>
                <w:szCs w:val="20"/>
              </w:rPr>
              <w:t>The city of Spokane has been unsuccessful in their 2-year initiative to mitigate the effects of chronic public inebriation (CPI) through a voluntary Alcohol Impact Area in the east central section of the city.  Board recognition will enable mandatory product restrictions within the geographic bounds of the Alcohol Impact Area, significantly improving the potential for positive change in the community.  Absent board recognition the city’s public safety initiative will devolve, resulting in increased drain on the city’s law enforcement department, medical responders within the fire department, and community social service organizations.</w:t>
            </w:r>
          </w:p>
        </w:tc>
      </w:tr>
    </w:tbl>
    <w:p w:rsidR="0004571A" w:rsidRDefault="0004571A" w:rsidP="000A4971">
      <w:pPr>
        <w:pStyle w:val="PMOBody"/>
        <w:spacing w:before="60"/>
        <w:rPr>
          <w:rFonts w:ascii="Arial" w:hAnsi="Arial" w:cs="Arial"/>
          <w:sz w:val="20"/>
          <w:szCs w:val="20"/>
        </w:rPr>
      </w:pPr>
    </w:p>
    <w:p w:rsidR="00A77E5B" w:rsidRPr="000A4971" w:rsidRDefault="00A77E5B" w:rsidP="000A4971">
      <w:pPr>
        <w:pStyle w:val="PMOHeading2"/>
        <w:spacing w:before="60"/>
        <w:rPr>
          <w:rFonts w:ascii="Arial" w:hAnsi="Arial" w:cs="Arial"/>
          <w:sz w:val="20"/>
        </w:rPr>
      </w:pPr>
      <w:r w:rsidRPr="000A4971">
        <w:rPr>
          <w:rFonts w:ascii="Arial" w:hAnsi="Arial" w:cs="Arial"/>
          <w:sz w:val="20"/>
        </w:rPr>
        <w:t>Background</w:t>
      </w:r>
    </w:p>
    <w:p w:rsidR="00A77E5B" w:rsidRPr="000A4971" w:rsidRDefault="00A77E5B" w:rsidP="000A4971">
      <w:pPr>
        <w:pStyle w:val="PMOBody"/>
        <w:spacing w:before="60"/>
        <w:rPr>
          <w:rFonts w:ascii="Arial" w:hAnsi="Arial" w:cs="Arial"/>
          <w:sz w:val="20"/>
          <w:szCs w:val="20"/>
        </w:rPr>
      </w:pPr>
    </w:p>
    <w:p w:rsidR="002C0F0D" w:rsidRDefault="002C0F0D" w:rsidP="002C0F0D">
      <w:pPr>
        <w:pStyle w:val="PMOBody"/>
        <w:spacing w:before="60"/>
        <w:rPr>
          <w:rFonts w:ascii="Arial" w:hAnsi="Arial" w:cs="Arial"/>
          <w:sz w:val="20"/>
          <w:szCs w:val="20"/>
        </w:rPr>
      </w:pPr>
      <w:r>
        <w:rPr>
          <w:rFonts w:ascii="Arial" w:hAnsi="Arial" w:cs="Arial"/>
          <w:sz w:val="20"/>
          <w:szCs w:val="20"/>
        </w:rPr>
        <w:t>May 15, 2010, at the request of the city of Spokane, the Board granted recognition of the Downtown Alcohol Impact Area. The resolution included a listing of low-cost/high alcohol content beverages that would no longer be available for sale within the geographical bounds of the alcohol impact area.  Banned products are an essential aspect of the mandatory alcohol impact area recognition, having identified alcoholic beverages that contribute to problematic public safety concerns.  The city has requested an expansion of their existing banned products list in accordance with current rule WAC 314-12-215(3</w:t>
      </w:r>
      <w:proofErr w:type="gramStart"/>
      <w:r>
        <w:rPr>
          <w:rFonts w:ascii="Arial" w:hAnsi="Arial" w:cs="Arial"/>
          <w:sz w:val="20"/>
          <w:szCs w:val="20"/>
        </w:rPr>
        <w:t>)(</w:t>
      </w:r>
      <w:proofErr w:type="gramEnd"/>
      <w:r>
        <w:rPr>
          <w:rFonts w:ascii="Arial" w:hAnsi="Arial" w:cs="Arial"/>
          <w:sz w:val="20"/>
          <w:szCs w:val="20"/>
        </w:rPr>
        <w:t>e).</w:t>
      </w:r>
    </w:p>
    <w:p w:rsidR="002C0F0D" w:rsidRDefault="002C0F0D" w:rsidP="002C0F0D">
      <w:pPr>
        <w:pStyle w:val="PMOBody"/>
        <w:spacing w:before="60"/>
        <w:rPr>
          <w:rFonts w:ascii="Arial" w:hAnsi="Arial" w:cs="Arial"/>
          <w:sz w:val="20"/>
          <w:szCs w:val="20"/>
        </w:rPr>
      </w:pPr>
    </w:p>
    <w:p w:rsidR="00596776" w:rsidRDefault="00596776" w:rsidP="0012480E">
      <w:pPr>
        <w:pStyle w:val="PMOBody"/>
        <w:spacing w:before="60"/>
        <w:rPr>
          <w:rFonts w:ascii="Arial" w:hAnsi="Arial" w:cs="Arial"/>
          <w:sz w:val="20"/>
          <w:szCs w:val="20"/>
        </w:rPr>
      </w:pPr>
      <w:r>
        <w:rPr>
          <w:rFonts w:ascii="Arial" w:hAnsi="Arial" w:cs="Arial"/>
          <w:sz w:val="20"/>
          <w:szCs w:val="20"/>
        </w:rPr>
        <w:t>September 14, 2009, the city amended city ordinance SMC 10.08.270 establishing the East Central Alcohol Impact Area.  This action was taken in response to requests from the citizens of the area through the East Central Neighborhood Council and the East Sprague Business Association.</w:t>
      </w:r>
    </w:p>
    <w:p w:rsidR="00596776" w:rsidRDefault="00596776" w:rsidP="0012480E">
      <w:pPr>
        <w:pStyle w:val="PMOBody"/>
        <w:spacing w:before="60"/>
        <w:rPr>
          <w:rFonts w:ascii="Arial" w:hAnsi="Arial" w:cs="Arial"/>
          <w:sz w:val="20"/>
          <w:szCs w:val="20"/>
        </w:rPr>
      </w:pPr>
    </w:p>
    <w:p w:rsidR="00596776" w:rsidRDefault="00596776" w:rsidP="0012480E">
      <w:pPr>
        <w:pStyle w:val="PMOBody"/>
        <w:spacing w:before="60"/>
        <w:rPr>
          <w:rFonts w:ascii="Arial" w:hAnsi="Arial" w:cs="Arial"/>
          <w:sz w:val="20"/>
          <w:szCs w:val="20"/>
        </w:rPr>
      </w:pPr>
      <w:r>
        <w:rPr>
          <w:rFonts w:ascii="Arial" w:hAnsi="Arial" w:cs="Arial"/>
          <w:sz w:val="20"/>
          <w:szCs w:val="20"/>
        </w:rPr>
        <w:t xml:space="preserve">The geographic boundaries are clearly identified </w:t>
      </w:r>
      <w:r w:rsidR="0012480E">
        <w:rPr>
          <w:rFonts w:ascii="Arial" w:hAnsi="Arial" w:cs="Arial"/>
          <w:sz w:val="20"/>
          <w:szCs w:val="20"/>
        </w:rPr>
        <w:t xml:space="preserve">in ordinance </w:t>
      </w:r>
      <w:r>
        <w:rPr>
          <w:rFonts w:ascii="Arial" w:hAnsi="Arial" w:cs="Arial"/>
          <w:sz w:val="20"/>
          <w:szCs w:val="20"/>
        </w:rPr>
        <w:t>as:</w:t>
      </w:r>
    </w:p>
    <w:p w:rsidR="00641272" w:rsidRDefault="00641272" w:rsidP="0012480E">
      <w:pPr>
        <w:autoSpaceDE w:val="0"/>
        <w:autoSpaceDN w:val="0"/>
        <w:adjustRightInd w:val="0"/>
        <w:ind w:left="720"/>
        <w:rPr>
          <w:rFonts w:cs="Arial"/>
          <w:color w:val="231F20"/>
          <w:szCs w:val="20"/>
          <w:u w:val="single"/>
        </w:rPr>
      </w:pPr>
    </w:p>
    <w:p w:rsidR="00596776" w:rsidRPr="00F061AD" w:rsidRDefault="00596776" w:rsidP="00F061AD">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b/>
          <w:color w:val="231F20"/>
          <w:szCs w:val="20"/>
          <w:u w:val="single"/>
        </w:rPr>
      </w:pPr>
      <w:r w:rsidRPr="00F061AD">
        <w:rPr>
          <w:rFonts w:cs="Arial"/>
          <w:b/>
          <w:color w:val="231F20"/>
          <w:szCs w:val="20"/>
          <w:u w:val="single"/>
        </w:rPr>
        <w:t>East Central – AIA</w:t>
      </w:r>
      <w:r w:rsidR="00641272" w:rsidRPr="00F061AD">
        <w:rPr>
          <w:rFonts w:cs="Arial"/>
          <w:b/>
          <w:color w:val="231F20"/>
          <w:szCs w:val="20"/>
          <w:u w:val="single"/>
        </w:rPr>
        <w:t xml:space="preserve"> (Adopted September, 2009, Ordinance C34475)</w:t>
      </w:r>
    </w:p>
    <w:p w:rsidR="00596776" w:rsidRPr="0012480E" w:rsidRDefault="00596776" w:rsidP="00F061AD">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231F20"/>
          <w:szCs w:val="20"/>
        </w:rPr>
      </w:pPr>
      <w:r w:rsidRPr="0012480E">
        <w:rPr>
          <w:rFonts w:cs="Arial"/>
          <w:color w:val="231F20"/>
          <w:szCs w:val="20"/>
        </w:rPr>
        <w:t>Beginning at the intersection of the ROW of Rebecca</w:t>
      </w:r>
      <w:r w:rsidR="0012480E" w:rsidRPr="0012480E">
        <w:rPr>
          <w:rFonts w:cs="Arial"/>
          <w:color w:val="231F20"/>
          <w:szCs w:val="20"/>
        </w:rPr>
        <w:t xml:space="preserve"> </w:t>
      </w:r>
      <w:r w:rsidRPr="0012480E">
        <w:rPr>
          <w:rFonts w:cs="Arial"/>
          <w:color w:val="231F20"/>
          <w:szCs w:val="20"/>
        </w:rPr>
        <w:t>Street and Sprague Avenue and including the properties</w:t>
      </w:r>
      <w:r w:rsidR="0012480E" w:rsidRPr="0012480E">
        <w:rPr>
          <w:rFonts w:cs="Arial"/>
          <w:color w:val="231F20"/>
          <w:szCs w:val="20"/>
        </w:rPr>
        <w:t xml:space="preserve"> </w:t>
      </w:r>
      <w:r w:rsidRPr="0012480E">
        <w:rPr>
          <w:rFonts w:cs="Arial"/>
          <w:color w:val="231F20"/>
          <w:szCs w:val="20"/>
        </w:rPr>
        <w:t>adjacent to the ROW on the north then west along said</w:t>
      </w:r>
      <w:r w:rsidR="0012480E" w:rsidRPr="0012480E">
        <w:rPr>
          <w:rFonts w:cs="Arial"/>
          <w:color w:val="231F20"/>
          <w:szCs w:val="20"/>
        </w:rPr>
        <w:t xml:space="preserve"> </w:t>
      </w:r>
      <w:r w:rsidRPr="0012480E">
        <w:rPr>
          <w:rFonts w:cs="Arial"/>
          <w:color w:val="231F20"/>
          <w:szCs w:val="20"/>
        </w:rPr>
        <w:t>Sprague Avenue ROW to the ROW of Sycamore Street.</w:t>
      </w:r>
      <w:r w:rsidR="0012480E" w:rsidRPr="0012480E">
        <w:rPr>
          <w:rFonts w:cs="Arial"/>
          <w:color w:val="231F20"/>
          <w:szCs w:val="20"/>
        </w:rPr>
        <w:t xml:space="preserve"> </w:t>
      </w:r>
      <w:r w:rsidRPr="0012480E">
        <w:rPr>
          <w:rFonts w:cs="Arial"/>
          <w:color w:val="231F20"/>
          <w:szCs w:val="20"/>
        </w:rPr>
        <w:t>Then north along the ROW of Sycamore Street and</w:t>
      </w:r>
      <w:r w:rsidR="0012480E" w:rsidRPr="0012480E">
        <w:rPr>
          <w:rFonts w:cs="Arial"/>
          <w:color w:val="231F20"/>
          <w:szCs w:val="20"/>
        </w:rPr>
        <w:t xml:space="preserve"> </w:t>
      </w:r>
      <w:r w:rsidRPr="0012480E">
        <w:rPr>
          <w:rFonts w:cs="Arial"/>
          <w:color w:val="231F20"/>
          <w:szCs w:val="20"/>
        </w:rPr>
        <w:t>including those properties adjacent to and east of said</w:t>
      </w:r>
      <w:r w:rsidR="0012480E" w:rsidRPr="0012480E">
        <w:rPr>
          <w:rFonts w:cs="Arial"/>
          <w:color w:val="231F20"/>
          <w:szCs w:val="20"/>
        </w:rPr>
        <w:t xml:space="preserve"> </w:t>
      </w:r>
      <w:r w:rsidRPr="0012480E">
        <w:rPr>
          <w:rFonts w:cs="Arial"/>
          <w:color w:val="231F20"/>
          <w:szCs w:val="20"/>
        </w:rPr>
        <w:t>ROW to the intersection of the ROW of Main Avenue.</w:t>
      </w:r>
      <w:r w:rsidR="0012480E" w:rsidRPr="0012480E">
        <w:rPr>
          <w:rFonts w:cs="Arial"/>
          <w:color w:val="231F20"/>
          <w:szCs w:val="20"/>
        </w:rPr>
        <w:t xml:space="preserve"> </w:t>
      </w:r>
      <w:r w:rsidRPr="0012480E">
        <w:rPr>
          <w:rFonts w:cs="Arial"/>
          <w:color w:val="231F20"/>
          <w:szCs w:val="20"/>
        </w:rPr>
        <w:t>Then west along said Main Ave ROW extended and</w:t>
      </w:r>
      <w:r w:rsidR="0012480E" w:rsidRPr="0012480E">
        <w:rPr>
          <w:rFonts w:cs="Arial"/>
          <w:color w:val="231F20"/>
          <w:szCs w:val="20"/>
        </w:rPr>
        <w:t xml:space="preserve"> </w:t>
      </w:r>
      <w:r w:rsidRPr="0012480E">
        <w:rPr>
          <w:rFonts w:cs="Arial"/>
          <w:color w:val="231F20"/>
          <w:szCs w:val="20"/>
        </w:rPr>
        <w:t>including the properties north of and adjacent to said</w:t>
      </w:r>
      <w:r w:rsidR="0012480E" w:rsidRPr="0012480E">
        <w:rPr>
          <w:rFonts w:cs="Arial"/>
          <w:color w:val="231F20"/>
          <w:szCs w:val="20"/>
        </w:rPr>
        <w:t xml:space="preserve"> </w:t>
      </w:r>
      <w:r w:rsidRPr="0012480E">
        <w:rPr>
          <w:rFonts w:cs="Arial"/>
          <w:color w:val="231F20"/>
          <w:szCs w:val="20"/>
        </w:rPr>
        <w:t>ROW to the intersection of the ROW Altamont Street and</w:t>
      </w:r>
      <w:r w:rsidR="0012480E" w:rsidRPr="0012480E">
        <w:rPr>
          <w:rFonts w:cs="Arial"/>
          <w:color w:val="231F20"/>
          <w:szCs w:val="20"/>
        </w:rPr>
        <w:t xml:space="preserve"> </w:t>
      </w:r>
      <w:r w:rsidRPr="0012480E">
        <w:rPr>
          <w:rFonts w:cs="Arial"/>
          <w:color w:val="231F20"/>
          <w:szCs w:val="20"/>
        </w:rPr>
        <w:t>Main Avenue then continuing along the Main Avenue</w:t>
      </w:r>
      <w:r w:rsidR="0012480E" w:rsidRPr="0012480E">
        <w:rPr>
          <w:rFonts w:cs="Arial"/>
          <w:color w:val="231F20"/>
          <w:szCs w:val="20"/>
        </w:rPr>
        <w:t xml:space="preserve"> </w:t>
      </w:r>
      <w:r w:rsidRPr="0012480E">
        <w:rPr>
          <w:rFonts w:cs="Arial"/>
          <w:color w:val="231F20"/>
          <w:szCs w:val="20"/>
        </w:rPr>
        <w:t>ROW as before to the northerly extension of the ROW of</w:t>
      </w:r>
      <w:r w:rsidR="0012480E" w:rsidRPr="0012480E">
        <w:rPr>
          <w:rFonts w:cs="Arial"/>
          <w:color w:val="231F20"/>
          <w:szCs w:val="20"/>
        </w:rPr>
        <w:t xml:space="preserve"> </w:t>
      </w:r>
      <w:r w:rsidRPr="0012480E">
        <w:rPr>
          <w:rFonts w:cs="Arial"/>
          <w:color w:val="231F20"/>
          <w:szCs w:val="20"/>
        </w:rPr>
        <w:t>Perry Street. Then southerly along said Perry St ROW</w:t>
      </w:r>
      <w:r w:rsidR="0012480E" w:rsidRPr="0012480E">
        <w:rPr>
          <w:rFonts w:cs="Arial"/>
          <w:color w:val="231F20"/>
          <w:szCs w:val="20"/>
        </w:rPr>
        <w:t xml:space="preserve"> </w:t>
      </w:r>
      <w:r w:rsidRPr="0012480E">
        <w:rPr>
          <w:rFonts w:cs="Arial"/>
          <w:color w:val="231F20"/>
          <w:szCs w:val="20"/>
        </w:rPr>
        <w:t>extension and including all properties west of and adjacent</w:t>
      </w:r>
      <w:r w:rsidR="0012480E" w:rsidRPr="0012480E">
        <w:rPr>
          <w:rFonts w:cs="Arial"/>
          <w:color w:val="231F20"/>
          <w:szCs w:val="20"/>
        </w:rPr>
        <w:t xml:space="preserve"> </w:t>
      </w:r>
      <w:r w:rsidRPr="0012480E">
        <w:rPr>
          <w:rFonts w:cs="Arial"/>
          <w:color w:val="231F20"/>
          <w:szCs w:val="20"/>
        </w:rPr>
        <w:t>to said ROW to the intersection of Perry Street and the</w:t>
      </w:r>
      <w:r w:rsidR="0012480E" w:rsidRPr="0012480E">
        <w:rPr>
          <w:rFonts w:cs="Arial"/>
          <w:color w:val="231F20"/>
          <w:szCs w:val="20"/>
        </w:rPr>
        <w:t xml:space="preserve"> </w:t>
      </w:r>
      <w:r w:rsidRPr="0012480E">
        <w:rPr>
          <w:rFonts w:cs="Arial"/>
          <w:color w:val="231F20"/>
          <w:szCs w:val="20"/>
        </w:rPr>
        <w:t>center line of Perry Street I-90 overpass then along said</w:t>
      </w:r>
      <w:r w:rsidR="0012480E" w:rsidRPr="0012480E">
        <w:rPr>
          <w:rFonts w:cs="Arial"/>
          <w:color w:val="231F20"/>
          <w:szCs w:val="20"/>
        </w:rPr>
        <w:t xml:space="preserve"> </w:t>
      </w:r>
      <w:r w:rsidRPr="0012480E">
        <w:rPr>
          <w:rFonts w:cs="Arial"/>
          <w:color w:val="231F20"/>
          <w:szCs w:val="20"/>
        </w:rPr>
        <w:t xml:space="preserve">center line to the intersection with Liberty Park </w:t>
      </w:r>
      <w:r w:rsidR="0012480E" w:rsidRPr="0012480E">
        <w:rPr>
          <w:rFonts w:cs="Arial"/>
          <w:color w:val="231F20"/>
          <w:szCs w:val="20"/>
        </w:rPr>
        <w:t xml:space="preserve"> A</w:t>
      </w:r>
      <w:r w:rsidRPr="0012480E">
        <w:rPr>
          <w:rFonts w:cs="Arial"/>
          <w:color w:val="231F20"/>
          <w:szCs w:val="20"/>
        </w:rPr>
        <w:t>venue.</w:t>
      </w:r>
      <w:r w:rsidR="0012480E" w:rsidRPr="0012480E">
        <w:rPr>
          <w:rFonts w:cs="Arial"/>
          <w:color w:val="231F20"/>
          <w:szCs w:val="20"/>
        </w:rPr>
        <w:t xml:space="preserve"> </w:t>
      </w:r>
      <w:r w:rsidRPr="0012480E">
        <w:rPr>
          <w:rFonts w:cs="Arial"/>
          <w:color w:val="231F20"/>
          <w:szCs w:val="20"/>
        </w:rPr>
        <w:t>Then east along said ROW of Liberty Park Avenue to the</w:t>
      </w:r>
      <w:r w:rsidR="0012480E" w:rsidRPr="0012480E">
        <w:rPr>
          <w:rFonts w:cs="Arial"/>
          <w:color w:val="231F20"/>
          <w:szCs w:val="20"/>
        </w:rPr>
        <w:t xml:space="preserve"> </w:t>
      </w:r>
      <w:r w:rsidRPr="0012480E">
        <w:rPr>
          <w:rFonts w:cs="Arial"/>
          <w:color w:val="231F20"/>
          <w:szCs w:val="20"/>
        </w:rPr>
        <w:t>intersection of Madelia Street. Then South along said</w:t>
      </w:r>
      <w:r w:rsidR="0012480E" w:rsidRPr="0012480E">
        <w:rPr>
          <w:rFonts w:cs="Arial"/>
          <w:color w:val="231F20"/>
          <w:szCs w:val="20"/>
        </w:rPr>
        <w:t xml:space="preserve"> </w:t>
      </w:r>
      <w:r w:rsidRPr="0012480E">
        <w:rPr>
          <w:rFonts w:cs="Arial"/>
          <w:color w:val="231F20"/>
          <w:szCs w:val="20"/>
        </w:rPr>
        <w:t>ROW of Madelia Street to the ROW of 4th Avenue. Then</w:t>
      </w:r>
      <w:r w:rsidR="0012480E" w:rsidRPr="0012480E">
        <w:rPr>
          <w:rFonts w:cs="Arial"/>
          <w:color w:val="231F20"/>
          <w:szCs w:val="20"/>
        </w:rPr>
        <w:t xml:space="preserve"> </w:t>
      </w:r>
      <w:r w:rsidRPr="0012480E">
        <w:rPr>
          <w:rFonts w:cs="Arial"/>
          <w:color w:val="231F20"/>
          <w:szCs w:val="20"/>
        </w:rPr>
        <w:t>east along said 4th Avenue ROW to the intersection of</w:t>
      </w:r>
      <w:r w:rsidR="0012480E" w:rsidRPr="0012480E">
        <w:rPr>
          <w:rFonts w:cs="Arial"/>
          <w:color w:val="231F20"/>
          <w:szCs w:val="20"/>
        </w:rPr>
        <w:t xml:space="preserve"> </w:t>
      </w:r>
      <w:r w:rsidRPr="0012480E">
        <w:rPr>
          <w:rFonts w:cs="Arial"/>
          <w:color w:val="231F20"/>
          <w:szCs w:val="20"/>
        </w:rPr>
        <w:t>Pittsburg Street. Then south along said Pittsburg ROW to</w:t>
      </w:r>
      <w:r w:rsidR="0012480E" w:rsidRPr="0012480E">
        <w:rPr>
          <w:rFonts w:cs="Arial"/>
          <w:color w:val="231F20"/>
          <w:szCs w:val="20"/>
        </w:rPr>
        <w:t xml:space="preserve"> </w:t>
      </w:r>
      <w:r w:rsidRPr="0012480E">
        <w:rPr>
          <w:rFonts w:cs="Arial"/>
          <w:color w:val="231F20"/>
          <w:szCs w:val="20"/>
        </w:rPr>
        <w:t>the intersection of 5th Avenue. Then east along the 5</w:t>
      </w:r>
      <w:r w:rsidRPr="0012480E">
        <w:rPr>
          <w:rFonts w:cs="Arial"/>
          <w:color w:val="231F20"/>
          <w:szCs w:val="20"/>
          <w:vertAlign w:val="superscript"/>
        </w:rPr>
        <w:t>th</w:t>
      </w:r>
      <w:r w:rsidR="0012480E" w:rsidRPr="0012480E">
        <w:rPr>
          <w:rFonts w:cs="Arial"/>
          <w:color w:val="231F20"/>
          <w:szCs w:val="20"/>
        </w:rPr>
        <w:t xml:space="preserve"> </w:t>
      </w:r>
      <w:r w:rsidRPr="0012480E">
        <w:rPr>
          <w:rFonts w:cs="Arial"/>
          <w:color w:val="231F20"/>
          <w:szCs w:val="20"/>
        </w:rPr>
        <w:t>Avenue ROW and including all properties south of and</w:t>
      </w:r>
      <w:r w:rsidR="0012480E" w:rsidRPr="0012480E">
        <w:rPr>
          <w:rFonts w:cs="Arial"/>
          <w:color w:val="231F20"/>
          <w:szCs w:val="20"/>
        </w:rPr>
        <w:t xml:space="preserve"> </w:t>
      </w:r>
      <w:r w:rsidRPr="0012480E">
        <w:rPr>
          <w:rFonts w:cs="Arial"/>
          <w:color w:val="231F20"/>
          <w:szCs w:val="20"/>
        </w:rPr>
        <w:t>adjacent to said ROW to the intersection of Freya Street.</w:t>
      </w:r>
      <w:r w:rsidR="0012480E" w:rsidRPr="0012480E">
        <w:rPr>
          <w:rFonts w:cs="Arial"/>
          <w:color w:val="231F20"/>
          <w:szCs w:val="20"/>
        </w:rPr>
        <w:t xml:space="preserve"> </w:t>
      </w:r>
      <w:r w:rsidRPr="0012480E">
        <w:rPr>
          <w:rFonts w:cs="Arial"/>
          <w:color w:val="231F20"/>
          <w:szCs w:val="20"/>
        </w:rPr>
        <w:t>Then north along the ROW of Freya Street to the ROW</w:t>
      </w:r>
      <w:r w:rsidR="0012480E" w:rsidRPr="0012480E">
        <w:rPr>
          <w:rFonts w:cs="Arial"/>
          <w:color w:val="231F20"/>
          <w:szCs w:val="20"/>
        </w:rPr>
        <w:t xml:space="preserve"> </w:t>
      </w:r>
      <w:r w:rsidRPr="0012480E">
        <w:rPr>
          <w:rFonts w:cs="Arial"/>
          <w:color w:val="231F20"/>
          <w:szCs w:val="20"/>
        </w:rPr>
        <w:t>of 5th Avenue (east). Then east along the 5th Avenue ROW</w:t>
      </w:r>
      <w:r w:rsidR="0012480E" w:rsidRPr="0012480E">
        <w:rPr>
          <w:rFonts w:cs="Arial"/>
          <w:color w:val="231F20"/>
          <w:szCs w:val="20"/>
        </w:rPr>
        <w:t xml:space="preserve"> </w:t>
      </w:r>
      <w:r w:rsidRPr="0012480E">
        <w:rPr>
          <w:rFonts w:cs="Arial"/>
          <w:color w:val="231F20"/>
          <w:szCs w:val="20"/>
        </w:rPr>
        <w:t>and including all properties south of and adjacent to said</w:t>
      </w:r>
      <w:r w:rsidR="0012480E" w:rsidRPr="0012480E">
        <w:rPr>
          <w:rFonts w:cs="Arial"/>
          <w:color w:val="231F20"/>
          <w:szCs w:val="20"/>
        </w:rPr>
        <w:t xml:space="preserve"> </w:t>
      </w:r>
      <w:r w:rsidRPr="0012480E">
        <w:rPr>
          <w:rFonts w:cs="Arial"/>
          <w:color w:val="231F20"/>
          <w:szCs w:val="20"/>
        </w:rPr>
        <w:t>ROW to the intersection of Rebecca Street. Then north</w:t>
      </w:r>
      <w:r w:rsidR="0012480E" w:rsidRPr="0012480E">
        <w:rPr>
          <w:rFonts w:cs="Arial"/>
          <w:color w:val="231F20"/>
          <w:szCs w:val="20"/>
        </w:rPr>
        <w:t xml:space="preserve"> </w:t>
      </w:r>
      <w:r w:rsidRPr="0012480E">
        <w:rPr>
          <w:rFonts w:cs="Arial"/>
          <w:color w:val="231F20"/>
          <w:szCs w:val="20"/>
        </w:rPr>
        <w:t>along said ROW of Rebecca Street and including all</w:t>
      </w:r>
      <w:r w:rsidR="0012480E" w:rsidRPr="0012480E">
        <w:rPr>
          <w:rFonts w:cs="Arial"/>
          <w:color w:val="231F20"/>
          <w:szCs w:val="20"/>
        </w:rPr>
        <w:t xml:space="preserve"> </w:t>
      </w:r>
      <w:r w:rsidRPr="0012480E">
        <w:rPr>
          <w:rFonts w:cs="Arial"/>
          <w:color w:val="231F20"/>
          <w:szCs w:val="20"/>
        </w:rPr>
        <w:t>properties east of and adjacent to said ROW to the Point</w:t>
      </w:r>
      <w:r w:rsidR="0012480E" w:rsidRPr="0012480E">
        <w:rPr>
          <w:rFonts w:cs="Arial"/>
          <w:color w:val="231F20"/>
          <w:szCs w:val="20"/>
        </w:rPr>
        <w:t xml:space="preserve"> </w:t>
      </w:r>
      <w:r w:rsidRPr="0012480E">
        <w:rPr>
          <w:rFonts w:cs="Arial"/>
          <w:color w:val="231F20"/>
          <w:szCs w:val="20"/>
        </w:rPr>
        <w:t>of Beginning.</w:t>
      </w:r>
      <w:r w:rsidR="0012480E" w:rsidRPr="0012480E">
        <w:rPr>
          <w:rFonts w:cs="Arial"/>
          <w:color w:val="231F20"/>
          <w:szCs w:val="20"/>
        </w:rPr>
        <w:t xml:space="preserve"> </w:t>
      </w:r>
    </w:p>
    <w:p w:rsidR="0012480E" w:rsidRPr="0012480E" w:rsidRDefault="0012480E" w:rsidP="00F061AD">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231F20"/>
          <w:szCs w:val="20"/>
        </w:rPr>
      </w:pPr>
    </w:p>
    <w:p w:rsidR="00596776" w:rsidRPr="0012480E" w:rsidRDefault="00596776" w:rsidP="00F061AD">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szCs w:val="20"/>
        </w:rPr>
      </w:pPr>
      <w:r w:rsidRPr="0012480E">
        <w:rPr>
          <w:rFonts w:cs="Arial"/>
          <w:color w:val="231F20"/>
          <w:szCs w:val="20"/>
        </w:rPr>
        <w:t>The boundaries shall include properties located on both sides</w:t>
      </w:r>
      <w:r w:rsidR="0012480E" w:rsidRPr="0012480E">
        <w:rPr>
          <w:rFonts w:cs="Arial"/>
          <w:color w:val="231F20"/>
          <w:szCs w:val="20"/>
        </w:rPr>
        <w:t xml:space="preserve"> </w:t>
      </w:r>
      <w:r w:rsidRPr="0012480E">
        <w:rPr>
          <w:rFonts w:cs="Arial"/>
          <w:color w:val="231F20"/>
          <w:szCs w:val="20"/>
        </w:rPr>
        <w:t>of the public right-of-way that constitute the boundaries of the</w:t>
      </w:r>
      <w:r w:rsidR="0012480E" w:rsidRPr="0012480E">
        <w:rPr>
          <w:rFonts w:cs="Arial"/>
          <w:color w:val="231F20"/>
          <w:szCs w:val="20"/>
        </w:rPr>
        <w:t xml:space="preserve"> </w:t>
      </w:r>
      <w:r w:rsidRPr="0012480E">
        <w:rPr>
          <w:rFonts w:cs="Arial"/>
          <w:color w:val="231F20"/>
          <w:szCs w:val="20"/>
        </w:rPr>
        <w:t xml:space="preserve">alcohol impact area </w:t>
      </w:r>
      <w:r w:rsidR="00641272">
        <w:rPr>
          <w:rFonts w:cs="Arial"/>
          <w:color w:val="231F20"/>
          <w:szCs w:val="20"/>
        </w:rPr>
        <w:t xml:space="preserve">. . . </w:t>
      </w:r>
    </w:p>
    <w:p w:rsidR="00AB63C6" w:rsidRDefault="00AB63C6" w:rsidP="000A4971">
      <w:pPr>
        <w:pStyle w:val="PMOBody"/>
        <w:spacing w:before="60"/>
        <w:rPr>
          <w:rFonts w:ascii="Arial" w:hAnsi="Arial" w:cs="Arial"/>
          <w:sz w:val="20"/>
          <w:szCs w:val="20"/>
        </w:rPr>
      </w:pPr>
    </w:p>
    <w:p w:rsidR="00F061AD" w:rsidRDefault="00E54D37" w:rsidP="00641272">
      <w:pPr>
        <w:autoSpaceDE w:val="0"/>
        <w:autoSpaceDN w:val="0"/>
        <w:adjustRightInd w:val="0"/>
        <w:ind w:left="720"/>
        <w:rPr>
          <w:rFonts w:cs="Arial"/>
          <w:color w:val="231F20"/>
          <w:szCs w:val="20"/>
          <w:u w:val="single"/>
        </w:rPr>
      </w:pPr>
      <w:r>
        <w:rPr>
          <w:rFonts w:cs="Arial"/>
          <w:color w:val="231F20"/>
          <w:szCs w:val="20"/>
        </w:rPr>
        <w:t>August 2011</w:t>
      </w:r>
      <w:r w:rsidR="00003CBB">
        <w:rPr>
          <w:rFonts w:cs="Arial"/>
          <w:color w:val="231F20"/>
          <w:szCs w:val="20"/>
        </w:rPr>
        <w:t>, in response to the request of</w:t>
      </w:r>
      <w:r w:rsidR="0082063E">
        <w:rPr>
          <w:rFonts w:cs="Arial"/>
          <w:color w:val="231F20"/>
          <w:szCs w:val="20"/>
        </w:rPr>
        <w:t xml:space="preserve"> community residents</w:t>
      </w:r>
      <w:r>
        <w:rPr>
          <w:rFonts w:cs="Arial"/>
          <w:color w:val="231F20"/>
          <w:szCs w:val="20"/>
        </w:rPr>
        <w:t xml:space="preserve"> and businesses</w:t>
      </w:r>
      <w:r w:rsidR="0082063E">
        <w:rPr>
          <w:rFonts w:cs="Arial"/>
          <w:color w:val="231F20"/>
          <w:szCs w:val="20"/>
        </w:rPr>
        <w:t xml:space="preserve"> </w:t>
      </w:r>
      <w:r>
        <w:rPr>
          <w:rFonts w:cs="Arial"/>
          <w:color w:val="231F20"/>
          <w:szCs w:val="20"/>
        </w:rPr>
        <w:t>and increasing</w:t>
      </w:r>
      <w:r w:rsidR="0082063E">
        <w:rPr>
          <w:rFonts w:cs="Arial"/>
          <w:color w:val="231F20"/>
          <w:szCs w:val="20"/>
        </w:rPr>
        <w:t xml:space="preserve"> calls for alcohol-related services continuing to negatively impact the quality of life and public safety of the voluntary alcohol impact area</w:t>
      </w:r>
      <w:r w:rsidR="00855159">
        <w:rPr>
          <w:rFonts w:cs="Arial"/>
          <w:color w:val="231F20"/>
          <w:szCs w:val="20"/>
        </w:rPr>
        <w:t>,</w:t>
      </w:r>
      <w:r w:rsidR="0082063E">
        <w:rPr>
          <w:rFonts w:cs="Arial"/>
          <w:color w:val="231F20"/>
          <w:szCs w:val="20"/>
        </w:rPr>
        <w:t xml:space="preserve"> the city expanded the boundaries of the voluntary East Central Alcohol Impact Area.</w:t>
      </w:r>
      <w:r>
        <w:rPr>
          <w:rFonts w:cs="Arial"/>
          <w:color w:val="231F20"/>
          <w:szCs w:val="20"/>
        </w:rPr>
        <w:t xml:space="preserve">  This action extended the voluntary compliance period for the initiative.</w:t>
      </w:r>
    </w:p>
    <w:p w:rsidR="00F061AD" w:rsidRDefault="00F061AD" w:rsidP="00641272">
      <w:pPr>
        <w:autoSpaceDE w:val="0"/>
        <w:autoSpaceDN w:val="0"/>
        <w:adjustRightInd w:val="0"/>
        <w:ind w:left="720"/>
        <w:rPr>
          <w:rFonts w:cs="Arial"/>
          <w:color w:val="231F20"/>
          <w:szCs w:val="20"/>
          <w:u w:val="single"/>
        </w:rPr>
      </w:pPr>
    </w:p>
    <w:p w:rsidR="00F061AD" w:rsidRDefault="00F061AD" w:rsidP="00641272">
      <w:pPr>
        <w:autoSpaceDE w:val="0"/>
        <w:autoSpaceDN w:val="0"/>
        <w:adjustRightInd w:val="0"/>
        <w:ind w:left="720"/>
        <w:rPr>
          <w:rFonts w:cs="Arial"/>
          <w:color w:val="231F20"/>
          <w:szCs w:val="20"/>
          <w:u w:val="single"/>
        </w:rPr>
      </w:pPr>
    </w:p>
    <w:p w:rsidR="00F061AD" w:rsidRDefault="00F061AD" w:rsidP="00641272">
      <w:pPr>
        <w:autoSpaceDE w:val="0"/>
        <w:autoSpaceDN w:val="0"/>
        <w:adjustRightInd w:val="0"/>
        <w:ind w:left="720"/>
        <w:rPr>
          <w:rFonts w:cs="Arial"/>
          <w:color w:val="231F20"/>
          <w:szCs w:val="20"/>
          <w:u w:val="single"/>
        </w:rPr>
      </w:pPr>
    </w:p>
    <w:p w:rsidR="00641272" w:rsidRPr="00F061AD" w:rsidRDefault="00641272" w:rsidP="00F061AD">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b/>
          <w:color w:val="231F20"/>
          <w:szCs w:val="20"/>
          <w:u w:val="single"/>
        </w:rPr>
      </w:pPr>
      <w:r w:rsidRPr="00F061AD">
        <w:rPr>
          <w:rFonts w:cs="Arial"/>
          <w:b/>
          <w:color w:val="231F20"/>
          <w:szCs w:val="20"/>
          <w:u w:val="single"/>
        </w:rPr>
        <w:t>East Central – AIA (Amended August, 2011, Ordinance C34763)</w:t>
      </w:r>
    </w:p>
    <w:p w:rsidR="00641272" w:rsidRPr="0012480E" w:rsidRDefault="00641272" w:rsidP="00F061AD">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231F20"/>
          <w:szCs w:val="20"/>
          <w:u w:val="single"/>
        </w:rPr>
      </w:pPr>
    </w:p>
    <w:p w:rsidR="00641272" w:rsidRDefault="00641272" w:rsidP="00F061AD">
      <w:pPr>
        <w:pStyle w:val="Default"/>
        <w:pBdr>
          <w:top w:val="single" w:sz="4" w:space="1" w:color="auto"/>
          <w:left w:val="single" w:sz="4" w:space="4" w:color="auto"/>
          <w:bottom w:val="single" w:sz="4" w:space="1" w:color="auto"/>
          <w:right w:val="single" w:sz="4" w:space="4" w:color="auto"/>
        </w:pBdr>
        <w:ind w:left="720"/>
        <w:rPr>
          <w:sz w:val="20"/>
          <w:szCs w:val="20"/>
        </w:rPr>
      </w:pPr>
      <w:r>
        <w:rPr>
          <w:sz w:val="20"/>
          <w:szCs w:val="20"/>
        </w:rPr>
        <w:t xml:space="preserve">Beginning at the intersection of the ROW of Alki Avenue and Havana Street and including the properties north, south and west but not east of that Intersection, then west along said Alki Avenue ROW to the intersection of Alki Avenue and Alki Way. </w:t>
      </w:r>
    </w:p>
    <w:p w:rsidR="00F061AD" w:rsidRDefault="00F061AD" w:rsidP="00F061AD">
      <w:pPr>
        <w:pStyle w:val="Default"/>
        <w:pBdr>
          <w:top w:val="single" w:sz="4" w:space="1" w:color="auto"/>
          <w:left w:val="single" w:sz="4" w:space="4" w:color="auto"/>
          <w:bottom w:val="single" w:sz="4" w:space="1" w:color="auto"/>
          <w:right w:val="single" w:sz="4" w:space="4" w:color="auto"/>
        </w:pBdr>
        <w:ind w:left="720"/>
        <w:rPr>
          <w:sz w:val="20"/>
          <w:szCs w:val="20"/>
        </w:rPr>
      </w:pPr>
    </w:p>
    <w:p w:rsidR="00641272" w:rsidRDefault="00641272" w:rsidP="00F061AD">
      <w:pPr>
        <w:pStyle w:val="Default"/>
        <w:pBdr>
          <w:top w:val="single" w:sz="4" w:space="1" w:color="auto"/>
          <w:left w:val="single" w:sz="4" w:space="4" w:color="auto"/>
          <w:bottom w:val="single" w:sz="4" w:space="1" w:color="auto"/>
          <w:right w:val="single" w:sz="4" w:space="4" w:color="auto"/>
        </w:pBdr>
        <w:ind w:left="720"/>
        <w:rPr>
          <w:sz w:val="20"/>
          <w:szCs w:val="20"/>
        </w:rPr>
      </w:pPr>
      <w:r>
        <w:rPr>
          <w:sz w:val="20"/>
          <w:szCs w:val="20"/>
        </w:rPr>
        <w:t>Then westerly along the ROW of Alki Way and Alki Avenue to the intersection of Alki Avenue and Freya St. then south on Freya Street to the intersection of Freya Street and Main Ave. Then west along said Main Avenue ROW extended and including the properties north of and adjacent to said ROW to the intersection of the ROW Altamont Street and Main Avenue then continuing along the Main Avenue ROW as before to the northerly extension of the ROW of Perry Street. Then southerly along said Perry Street ROW extension and including all properties west of and adjacent to said ROW to the intersection of Perry Street and the center line of Perry Street I-90 overpass then along said center line to the intersection with 3</w:t>
      </w:r>
      <w:r>
        <w:rPr>
          <w:sz w:val="13"/>
          <w:szCs w:val="13"/>
        </w:rPr>
        <w:t xml:space="preserve">rd </w:t>
      </w:r>
      <w:r>
        <w:rPr>
          <w:sz w:val="20"/>
          <w:szCs w:val="20"/>
        </w:rPr>
        <w:t>Avenue then westerly along 3</w:t>
      </w:r>
      <w:r>
        <w:rPr>
          <w:sz w:val="13"/>
          <w:szCs w:val="13"/>
        </w:rPr>
        <w:t xml:space="preserve">rd </w:t>
      </w:r>
      <w:r>
        <w:rPr>
          <w:sz w:val="20"/>
          <w:szCs w:val="20"/>
        </w:rPr>
        <w:t>Avenue to the intersection of 3</w:t>
      </w:r>
      <w:r>
        <w:rPr>
          <w:sz w:val="13"/>
          <w:szCs w:val="13"/>
        </w:rPr>
        <w:t xml:space="preserve">rd </w:t>
      </w:r>
      <w:r>
        <w:rPr>
          <w:sz w:val="20"/>
          <w:szCs w:val="20"/>
        </w:rPr>
        <w:t>Avenue and Perry Street extended. Then southerly along Perry Street Extended and Perry Street to the intersection of Perry Street and 7</w:t>
      </w:r>
      <w:r>
        <w:rPr>
          <w:sz w:val="13"/>
          <w:szCs w:val="13"/>
        </w:rPr>
        <w:t xml:space="preserve">th </w:t>
      </w:r>
      <w:r>
        <w:rPr>
          <w:sz w:val="20"/>
          <w:szCs w:val="20"/>
        </w:rPr>
        <w:t>Avenue, then southwesterly along the 7</w:t>
      </w:r>
      <w:r>
        <w:rPr>
          <w:sz w:val="13"/>
          <w:szCs w:val="13"/>
        </w:rPr>
        <w:t xml:space="preserve">th </w:t>
      </w:r>
      <w:r>
        <w:rPr>
          <w:sz w:val="20"/>
          <w:szCs w:val="20"/>
        </w:rPr>
        <w:t>Avenue/Perry Street combined ROW to the intersection of 7</w:t>
      </w:r>
      <w:r>
        <w:rPr>
          <w:sz w:val="13"/>
          <w:szCs w:val="13"/>
        </w:rPr>
        <w:t xml:space="preserve">th </w:t>
      </w:r>
      <w:r>
        <w:rPr>
          <w:sz w:val="20"/>
          <w:szCs w:val="20"/>
        </w:rPr>
        <w:t>Avenue/Perry Street combined and the Newark Avenue ROW. Then southerly along said Newark Avenue ROW said ROW becomes Perry Street, then south along Perry Street to the intersection of 9</w:t>
      </w:r>
      <w:r>
        <w:rPr>
          <w:sz w:val="13"/>
          <w:szCs w:val="13"/>
        </w:rPr>
        <w:t xml:space="preserve">th </w:t>
      </w:r>
      <w:r>
        <w:rPr>
          <w:sz w:val="20"/>
          <w:szCs w:val="20"/>
        </w:rPr>
        <w:t>Avenue. Then west along said 9</w:t>
      </w:r>
      <w:r>
        <w:rPr>
          <w:sz w:val="13"/>
          <w:szCs w:val="13"/>
        </w:rPr>
        <w:t xml:space="preserve">th </w:t>
      </w:r>
      <w:r>
        <w:rPr>
          <w:sz w:val="20"/>
          <w:szCs w:val="20"/>
        </w:rPr>
        <w:t>Avenue to the intersection of 9</w:t>
      </w:r>
      <w:r>
        <w:rPr>
          <w:sz w:val="13"/>
          <w:szCs w:val="13"/>
        </w:rPr>
        <w:t xml:space="preserve">th </w:t>
      </w:r>
      <w:r>
        <w:rPr>
          <w:sz w:val="20"/>
          <w:szCs w:val="20"/>
        </w:rPr>
        <w:t>Avenue and Arthur Street, then south along said Arthur Avenue ROW to the intersection of 12</w:t>
      </w:r>
      <w:r>
        <w:rPr>
          <w:sz w:val="13"/>
          <w:szCs w:val="13"/>
        </w:rPr>
        <w:t xml:space="preserve">th </w:t>
      </w:r>
      <w:r>
        <w:rPr>
          <w:sz w:val="20"/>
          <w:szCs w:val="20"/>
        </w:rPr>
        <w:t>Avenue. Then east along 12</w:t>
      </w:r>
      <w:r>
        <w:rPr>
          <w:sz w:val="13"/>
          <w:szCs w:val="13"/>
        </w:rPr>
        <w:t xml:space="preserve">th </w:t>
      </w:r>
      <w:r>
        <w:rPr>
          <w:sz w:val="20"/>
          <w:szCs w:val="20"/>
        </w:rPr>
        <w:t>Avenue ROW to the intersection of 12</w:t>
      </w:r>
      <w:r>
        <w:rPr>
          <w:sz w:val="13"/>
          <w:szCs w:val="13"/>
        </w:rPr>
        <w:t xml:space="preserve">th </w:t>
      </w:r>
      <w:r>
        <w:rPr>
          <w:sz w:val="20"/>
          <w:szCs w:val="20"/>
        </w:rPr>
        <w:t>Avenue and Helena Street, then north along said Helena Street ROW to intersection of Helena Street and Hartson Avenue. Then east along said Hartson Avenue to the intersection of Hartson Avenue and Pittsburg Street, then north along said ROW of Pittsburg Street to the intersection of Pittsburg Street and 5</w:t>
      </w:r>
      <w:r>
        <w:rPr>
          <w:sz w:val="13"/>
          <w:szCs w:val="13"/>
        </w:rPr>
        <w:t xml:space="preserve">th </w:t>
      </w:r>
      <w:r>
        <w:rPr>
          <w:sz w:val="20"/>
          <w:szCs w:val="20"/>
        </w:rPr>
        <w:t xml:space="preserve">Avenue. </w:t>
      </w:r>
    </w:p>
    <w:p w:rsidR="00641272" w:rsidRDefault="00641272" w:rsidP="00F061AD">
      <w:pPr>
        <w:pStyle w:val="Default"/>
        <w:pBdr>
          <w:top w:val="single" w:sz="4" w:space="1" w:color="auto"/>
          <w:left w:val="single" w:sz="4" w:space="4" w:color="auto"/>
          <w:bottom w:val="single" w:sz="4" w:space="1" w:color="auto"/>
          <w:right w:val="single" w:sz="4" w:space="4" w:color="auto"/>
        </w:pBdr>
        <w:ind w:left="720"/>
        <w:rPr>
          <w:sz w:val="20"/>
          <w:szCs w:val="20"/>
        </w:rPr>
      </w:pPr>
    </w:p>
    <w:p w:rsidR="00641272" w:rsidRDefault="00641272" w:rsidP="00F061AD">
      <w:pPr>
        <w:pStyle w:val="Default"/>
        <w:pBdr>
          <w:top w:val="single" w:sz="4" w:space="1" w:color="auto"/>
          <w:left w:val="single" w:sz="4" w:space="4" w:color="auto"/>
          <w:bottom w:val="single" w:sz="4" w:space="1" w:color="auto"/>
          <w:right w:val="single" w:sz="4" w:space="4" w:color="auto"/>
        </w:pBdr>
        <w:ind w:left="720"/>
        <w:rPr>
          <w:sz w:val="20"/>
          <w:szCs w:val="20"/>
        </w:rPr>
      </w:pPr>
      <w:r>
        <w:rPr>
          <w:sz w:val="20"/>
          <w:szCs w:val="20"/>
        </w:rPr>
        <w:t xml:space="preserve">Then east along the 5th Avenue ROW and including all properties south of and adjacent to said ROW to the intersection of Rebecca Street, then north along the ROW of Rebecca Street to the ROW of Pacific Avenue. Then east along said ROW of Pacific Avenue to the intersection of Havana Street and including the properties north, south and west but not east of that Intersection. Then north along the ROW of said Havana Street but including only those properties on the west side of said Havana Street ROW to the Point of Beginning </w:t>
      </w:r>
    </w:p>
    <w:p w:rsidR="00641272" w:rsidRDefault="00641272" w:rsidP="00F061AD">
      <w:pPr>
        <w:pStyle w:val="Default"/>
        <w:pBdr>
          <w:top w:val="single" w:sz="4" w:space="1" w:color="auto"/>
          <w:left w:val="single" w:sz="4" w:space="4" w:color="auto"/>
          <w:bottom w:val="single" w:sz="4" w:space="1" w:color="auto"/>
          <w:right w:val="single" w:sz="4" w:space="4" w:color="auto"/>
        </w:pBdr>
        <w:ind w:left="720"/>
        <w:rPr>
          <w:sz w:val="20"/>
          <w:szCs w:val="20"/>
        </w:rPr>
      </w:pPr>
    </w:p>
    <w:p w:rsidR="00E54D37" w:rsidRDefault="00641272" w:rsidP="00F061AD">
      <w:pPr>
        <w:pBdr>
          <w:top w:val="single" w:sz="4" w:space="1" w:color="auto"/>
          <w:left w:val="single" w:sz="4" w:space="4" w:color="auto"/>
          <w:bottom w:val="single" w:sz="4" w:space="1" w:color="auto"/>
          <w:right w:val="single" w:sz="4" w:space="4" w:color="auto"/>
        </w:pBdr>
        <w:ind w:left="720"/>
        <w:rPr>
          <w:szCs w:val="20"/>
        </w:rPr>
      </w:pPr>
      <w:r>
        <w:rPr>
          <w:szCs w:val="20"/>
        </w:rPr>
        <w:t xml:space="preserve">The boundaries shall include properties located on both sides of the public right-of-way that constitute the boundaries of the alcohol impact area . . . </w:t>
      </w:r>
    </w:p>
    <w:p w:rsidR="00E54D37" w:rsidRDefault="00E54D37" w:rsidP="00F061AD">
      <w:pPr>
        <w:pBdr>
          <w:top w:val="single" w:sz="4" w:space="1" w:color="auto"/>
          <w:left w:val="single" w:sz="4" w:space="4" w:color="auto"/>
          <w:bottom w:val="single" w:sz="4" w:space="1" w:color="auto"/>
          <w:right w:val="single" w:sz="4" w:space="4" w:color="auto"/>
        </w:pBdr>
        <w:ind w:left="720"/>
        <w:rPr>
          <w:szCs w:val="20"/>
        </w:rPr>
      </w:pPr>
    </w:p>
    <w:p w:rsidR="00E54D37" w:rsidRDefault="00E54D37" w:rsidP="00E54D37">
      <w:pPr>
        <w:ind w:left="720"/>
        <w:rPr>
          <w:rFonts w:cs="Arial"/>
          <w:szCs w:val="20"/>
        </w:rPr>
      </w:pPr>
    </w:p>
    <w:p w:rsidR="00855159" w:rsidRDefault="00855159" w:rsidP="00E54D37">
      <w:pPr>
        <w:ind w:left="720"/>
        <w:rPr>
          <w:rFonts w:cs="Arial"/>
          <w:szCs w:val="20"/>
        </w:rPr>
      </w:pPr>
      <w:r>
        <w:rPr>
          <w:rFonts w:cs="Arial"/>
          <w:szCs w:val="20"/>
        </w:rPr>
        <w:t>Significant Action Timeline:</w:t>
      </w:r>
    </w:p>
    <w:p w:rsidR="00855159" w:rsidRDefault="00855159" w:rsidP="00B04C7C">
      <w:pPr>
        <w:pStyle w:val="ListParagraph"/>
        <w:numPr>
          <w:ilvl w:val="1"/>
          <w:numId w:val="26"/>
        </w:numPr>
        <w:tabs>
          <w:tab w:val="left" w:pos="-2700"/>
          <w:tab w:val="left" w:pos="3240"/>
        </w:tabs>
        <w:ind w:left="1170" w:hanging="450"/>
        <w:rPr>
          <w:rFonts w:cs="Arial"/>
          <w:szCs w:val="20"/>
        </w:rPr>
      </w:pPr>
      <w:r>
        <w:rPr>
          <w:rFonts w:cs="Arial"/>
          <w:szCs w:val="20"/>
        </w:rPr>
        <w:t>May, 2009</w:t>
      </w:r>
      <w:r>
        <w:rPr>
          <w:rFonts w:cs="Arial"/>
          <w:szCs w:val="20"/>
        </w:rPr>
        <w:tab/>
        <w:t>City and community group(s) launched a voluntary compliance effort</w:t>
      </w:r>
      <w:r w:rsidR="004428B8">
        <w:rPr>
          <w:rFonts w:cs="Arial"/>
          <w:szCs w:val="20"/>
        </w:rPr>
        <w:t>.</w:t>
      </w:r>
    </w:p>
    <w:p w:rsidR="00804757" w:rsidRDefault="00804757" w:rsidP="00804757">
      <w:pPr>
        <w:pStyle w:val="ListParagraph"/>
        <w:tabs>
          <w:tab w:val="left" w:pos="-2700"/>
          <w:tab w:val="left" w:pos="3240"/>
        </w:tabs>
        <w:ind w:left="1170"/>
        <w:rPr>
          <w:rFonts w:cs="Arial"/>
          <w:szCs w:val="20"/>
        </w:rPr>
      </w:pPr>
    </w:p>
    <w:p w:rsidR="00855159" w:rsidRDefault="00855159" w:rsidP="00B04C7C">
      <w:pPr>
        <w:pStyle w:val="ListParagraph"/>
        <w:numPr>
          <w:ilvl w:val="1"/>
          <w:numId w:val="26"/>
        </w:numPr>
        <w:tabs>
          <w:tab w:val="left" w:pos="-2700"/>
          <w:tab w:val="left" w:pos="3240"/>
        </w:tabs>
        <w:ind w:left="1170" w:hanging="450"/>
        <w:rPr>
          <w:rFonts w:cs="Arial"/>
          <w:szCs w:val="20"/>
        </w:rPr>
      </w:pPr>
      <w:r>
        <w:rPr>
          <w:rFonts w:cs="Arial"/>
          <w:szCs w:val="20"/>
        </w:rPr>
        <w:t>June, 2009</w:t>
      </w:r>
      <w:r>
        <w:rPr>
          <w:rFonts w:cs="Arial"/>
          <w:szCs w:val="20"/>
        </w:rPr>
        <w:tab/>
        <w:t xml:space="preserve">City requested voluntary compliance via Good Neighbor Agreements; no compliance </w:t>
      </w:r>
      <w:r w:rsidR="00B04C7C">
        <w:rPr>
          <w:rFonts w:cs="Arial"/>
          <w:szCs w:val="20"/>
        </w:rPr>
        <w:tab/>
      </w:r>
      <w:r>
        <w:rPr>
          <w:rFonts w:cs="Arial"/>
          <w:szCs w:val="20"/>
        </w:rPr>
        <w:t>was achieved.</w:t>
      </w:r>
    </w:p>
    <w:p w:rsidR="004428B8" w:rsidRDefault="004428B8" w:rsidP="004428B8">
      <w:pPr>
        <w:pStyle w:val="ListParagraph"/>
        <w:tabs>
          <w:tab w:val="left" w:pos="-2700"/>
          <w:tab w:val="left" w:pos="3240"/>
        </w:tabs>
        <w:ind w:left="1170"/>
        <w:rPr>
          <w:rFonts w:cs="Arial"/>
          <w:szCs w:val="20"/>
        </w:rPr>
      </w:pPr>
    </w:p>
    <w:p w:rsidR="00B04C7C" w:rsidRDefault="00855159" w:rsidP="00B04C7C">
      <w:pPr>
        <w:pStyle w:val="ListParagraph"/>
        <w:numPr>
          <w:ilvl w:val="1"/>
          <w:numId w:val="26"/>
        </w:numPr>
        <w:tabs>
          <w:tab w:val="left" w:pos="-2700"/>
          <w:tab w:val="left" w:pos="3240"/>
        </w:tabs>
        <w:ind w:left="1170" w:hanging="450"/>
        <w:rPr>
          <w:rFonts w:cs="Arial"/>
          <w:szCs w:val="20"/>
        </w:rPr>
      </w:pPr>
      <w:r>
        <w:rPr>
          <w:rFonts w:cs="Arial"/>
          <w:szCs w:val="20"/>
        </w:rPr>
        <w:t>August, 2009</w:t>
      </w:r>
      <w:r>
        <w:rPr>
          <w:rFonts w:cs="Arial"/>
          <w:szCs w:val="20"/>
        </w:rPr>
        <w:tab/>
      </w:r>
      <w:r w:rsidR="00B04C7C">
        <w:rPr>
          <w:rFonts w:cs="Arial"/>
          <w:szCs w:val="20"/>
        </w:rPr>
        <w:t xml:space="preserve">City again requested voluntary compliance; 1 of 8 licensees was willing to work with </w:t>
      </w:r>
      <w:r w:rsidR="00B04C7C">
        <w:rPr>
          <w:rFonts w:cs="Arial"/>
          <w:szCs w:val="20"/>
        </w:rPr>
        <w:tab/>
        <w:t xml:space="preserve">the </w:t>
      </w:r>
      <w:r w:rsidR="00B04C7C">
        <w:rPr>
          <w:rFonts w:cs="Arial"/>
          <w:szCs w:val="20"/>
        </w:rPr>
        <w:tab/>
        <w:t>city, but none would sign an agreement to restrict the sale of fortified beer.</w:t>
      </w:r>
    </w:p>
    <w:p w:rsidR="004428B8" w:rsidRPr="004428B8" w:rsidRDefault="004428B8" w:rsidP="004428B8">
      <w:pPr>
        <w:pStyle w:val="ListParagraph"/>
        <w:rPr>
          <w:rFonts w:cs="Arial"/>
          <w:szCs w:val="20"/>
        </w:rPr>
      </w:pPr>
    </w:p>
    <w:p w:rsidR="004428B8" w:rsidRDefault="004428B8" w:rsidP="004428B8">
      <w:pPr>
        <w:pStyle w:val="ListParagraph"/>
        <w:tabs>
          <w:tab w:val="left" w:pos="-2700"/>
          <w:tab w:val="left" w:pos="3240"/>
        </w:tabs>
        <w:ind w:left="1170"/>
        <w:rPr>
          <w:rFonts w:cs="Arial"/>
          <w:szCs w:val="20"/>
        </w:rPr>
      </w:pPr>
    </w:p>
    <w:p w:rsidR="00B04C7C" w:rsidRDefault="00B04C7C" w:rsidP="00B04C7C">
      <w:pPr>
        <w:pStyle w:val="ListParagraph"/>
        <w:numPr>
          <w:ilvl w:val="1"/>
          <w:numId w:val="26"/>
        </w:numPr>
        <w:tabs>
          <w:tab w:val="left" w:pos="-2700"/>
          <w:tab w:val="left" w:pos="3240"/>
        </w:tabs>
        <w:ind w:left="1170" w:hanging="450"/>
        <w:rPr>
          <w:rFonts w:cs="Arial"/>
          <w:szCs w:val="20"/>
        </w:rPr>
      </w:pPr>
      <w:r>
        <w:rPr>
          <w:rFonts w:cs="Arial"/>
          <w:szCs w:val="20"/>
        </w:rPr>
        <w:t>September, 2009</w:t>
      </w:r>
      <w:r>
        <w:rPr>
          <w:rFonts w:cs="Arial"/>
          <w:szCs w:val="20"/>
        </w:rPr>
        <w:tab/>
        <w:t>City created the East Central Alcohol Impact Area in ordinance.</w:t>
      </w:r>
    </w:p>
    <w:p w:rsidR="004428B8" w:rsidRDefault="004428B8" w:rsidP="004428B8">
      <w:pPr>
        <w:pStyle w:val="ListParagraph"/>
        <w:tabs>
          <w:tab w:val="left" w:pos="-2700"/>
          <w:tab w:val="left" w:pos="3240"/>
        </w:tabs>
        <w:ind w:left="1170"/>
        <w:rPr>
          <w:rFonts w:cs="Arial"/>
          <w:szCs w:val="20"/>
        </w:rPr>
      </w:pPr>
    </w:p>
    <w:p w:rsidR="00B04C7C" w:rsidRDefault="00B04C7C" w:rsidP="00B04C7C">
      <w:pPr>
        <w:pStyle w:val="ListParagraph"/>
        <w:numPr>
          <w:ilvl w:val="1"/>
          <w:numId w:val="26"/>
        </w:numPr>
        <w:tabs>
          <w:tab w:val="left" w:pos="-2700"/>
          <w:tab w:val="left" w:pos="3240"/>
        </w:tabs>
        <w:ind w:left="1170" w:hanging="450"/>
        <w:rPr>
          <w:rFonts w:cs="Arial"/>
          <w:szCs w:val="20"/>
        </w:rPr>
      </w:pPr>
      <w:r>
        <w:rPr>
          <w:rFonts w:cs="Arial"/>
          <w:szCs w:val="20"/>
        </w:rPr>
        <w:t>May, 2010</w:t>
      </w:r>
      <w:r>
        <w:rPr>
          <w:rFonts w:cs="Arial"/>
          <w:szCs w:val="20"/>
        </w:rPr>
        <w:tab/>
        <w:t xml:space="preserve">Board recognized mandatory Downtown Alcohol Impact Area.  Shortly the east </w:t>
      </w:r>
      <w:r>
        <w:rPr>
          <w:rFonts w:cs="Arial"/>
          <w:szCs w:val="20"/>
        </w:rPr>
        <w:tab/>
        <w:t>central community started to experience dispersion of CPIs into the area.</w:t>
      </w:r>
    </w:p>
    <w:p w:rsidR="004428B8" w:rsidRPr="004428B8" w:rsidRDefault="004428B8" w:rsidP="00F96F86">
      <w:pPr>
        <w:pStyle w:val="ListParagraph"/>
        <w:rPr>
          <w:rFonts w:cs="Arial"/>
          <w:szCs w:val="20"/>
        </w:rPr>
      </w:pPr>
    </w:p>
    <w:p w:rsidR="004428B8" w:rsidRDefault="004428B8" w:rsidP="004428B8">
      <w:pPr>
        <w:pStyle w:val="ListParagraph"/>
        <w:tabs>
          <w:tab w:val="left" w:pos="-2700"/>
          <w:tab w:val="left" w:pos="3240"/>
        </w:tabs>
        <w:ind w:left="1170"/>
        <w:rPr>
          <w:rFonts w:cs="Arial"/>
          <w:szCs w:val="20"/>
        </w:rPr>
      </w:pPr>
    </w:p>
    <w:p w:rsidR="00B04C7C" w:rsidRDefault="00B04C7C" w:rsidP="00B04C7C">
      <w:pPr>
        <w:pStyle w:val="ListParagraph"/>
        <w:numPr>
          <w:ilvl w:val="1"/>
          <w:numId w:val="26"/>
        </w:numPr>
        <w:tabs>
          <w:tab w:val="left" w:pos="-2700"/>
          <w:tab w:val="left" w:pos="3240"/>
        </w:tabs>
        <w:ind w:left="1170" w:hanging="450"/>
        <w:rPr>
          <w:rFonts w:cs="Arial"/>
          <w:szCs w:val="20"/>
        </w:rPr>
      </w:pPr>
      <w:r>
        <w:rPr>
          <w:rFonts w:cs="Arial"/>
          <w:szCs w:val="20"/>
        </w:rPr>
        <w:lastRenderedPageBreak/>
        <w:t>June, 2011</w:t>
      </w:r>
      <w:r>
        <w:rPr>
          <w:rFonts w:cs="Arial"/>
          <w:szCs w:val="20"/>
        </w:rPr>
        <w:tab/>
        <w:t xml:space="preserve">City created the Spokane International District to promote economic development </w:t>
      </w:r>
      <w:r>
        <w:rPr>
          <w:rFonts w:cs="Arial"/>
          <w:szCs w:val="20"/>
        </w:rPr>
        <w:tab/>
        <w:t>and revitalization. This area encompass</w:t>
      </w:r>
      <w:r w:rsidR="00F96F86">
        <w:rPr>
          <w:rFonts w:cs="Arial"/>
          <w:szCs w:val="20"/>
        </w:rPr>
        <w:t>es</w:t>
      </w:r>
      <w:r>
        <w:rPr>
          <w:rFonts w:cs="Arial"/>
          <w:szCs w:val="20"/>
        </w:rPr>
        <w:t xml:space="preserve"> about ¼ square mile, </w:t>
      </w:r>
      <w:r w:rsidR="00F96F86">
        <w:rPr>
          <w:rFonts w:cs="Arial"/>
          <w:szCs w:val="20"/>
        </w:rPr>
        <w:t xml:space="preserve">and </w:t>
      </w:r>
      <w:r>
        <w:rPr>
          <w:rFonts w:cs="Arial"/>
          <w:szCs w:val="20"/>
        </w:rPr>
        <w:t>i</w:t>
      </w:r>
      <w:r w:rsidR="00F96F86">
        <w:rPr>
          <w:rFonts w:cs="Arial"/>
          <w:szCs w:val="20"/>
        </w:rPr>
        <w:t xml:space="preserve">s located in the </w:t>
      </w:r>
      <w:r w:rsidR="00F96F86">
        <w:rPr>
          <w:rFonts w:cs="Arial"/>
          <w:szCs w:val="20"/>
        </w:rPr>
        <w:tab/>
        <w:t>heart of the E</w:t>
      </w:r>
      <w:r>
        <w:rPr>
          <w:rFonts w:cs="Arial"/>
          <w:szCs w:val="20"/>
        </w:rPr>
        <w:t xml:space="preserve">ast </w:t>
      </w:r>
      <w:r w:rsidR="00F96F86">
        <w:rPr>
          <w:rFonts w:cs="Arial"/>
          <w:szCs w:val="20"/>
        </w:rPr>
        <w:t>C</w:t>
      </w:r>
      <w:r>
        <w:rPr>
          <w:rFonts w:cs="Arial"/>
          <w:szCs w:val="20"/>
        </w:rPr>
        <w:t xml:space="preserve">entral </w:t>
      </w:r>
      <w:r w:rsidR="00F96F86">
        <w:rPr>
          <w:rFonts w:cs="Arial"/>
          <w:szCs w:val="20"/>
        </w:rPr>
        <w:t>A</w:t>
      </w:r>
      <w:r>
        <w:rPr>
          <w:rFonts w:cs="Arial"/>
          <w:szCs w:val="20"/>
        </w:rPr>
        <w:t xml:space="preserve">lcohol </w:t>
      </w:r>
      <w:r w:rsidR="00F96F86">
        <w:rPr>
          <w:rFonts w:cs="Arial"/>
          <w:szCs w:val="20"/>
        </w:rPr>
        <w:t>I</w:t>
      </w:r>
      <w:r>
        <w:rPr>
          <w:rFonts w:cs="Arial"/>
          <w:szCs w:val="20"/>
        </w:rPr>
        <w:t xml:space="preserve">mpact </w:t>
      </w:r>
      <w:r w:rsidR="00F96F86">
        <w:rPr>
          <w:rFonts w:cs="Arial"/>
          <w:szCs w:val="20"/>
        </w:rPr>
        <w:t>A</w:t>
      </w:r>
      <w:r>
        <w:rPr>
          <w:rFonts w:cs="Arial"/>
          <w:szCs w:val="20"/>
        </w:rPr>
        <w:t>rea.</w:t>
      </w:r>
      <w:r>
        <w:rPr>
          <w:rFonts w:cs="Arial"/>
          <w:szCs w:val="20"/>
        </w:rPr>
        <w:tab/>
      </w:r>
    </w:p>
    <w:p w:rsidR="00B04C7C" w:rsidRDefault="00B04C7C" w:rsidP="00B04C7C">
      <w:pPr>
        <w:pStyle w:val="ListParagraph"/>
        <w:tabs>
          <w:tab w:val="left" w:pos="-3240"/>
          <w:tab w:val="left" w:pos="-2700"/>
          <w:tab w:val="left" w:pos="3240"/>
        </w:tabs>
        <w:ind w:left="1170"/>
        <w:rPr>
          <w:rFonts w:cs="Arial"/>
          <w:szCs w:val="20"/>
        </w:rPr>
      </w:pPr>
      <w:r>
        <w:rPr>
          <w:rFonts w:cs="Arial"/>
          <w:szCs w:val="20"/>
        </w:rPr>
        <w:tab/>
      </w:r>
    </w:p>
    <w:p w:rsidR="004428B8" w:rsidRDefault="00B04C7C" w:rsidP="00B04C7C">
      <w:pPr>
        <w:pStyle w:val="ListParagraph"/>
        <w:tabs>
          <w:tab w:val="left" w:pos="-3240"/>
          <w:tab w:val="left" w:pos="-2700"/>
          <w:tab w:val="left" w:pos="3240"/>
        </w:tabs>
        <w:ind w:left="1170"/>
        <w:rPr>
          <w:rFonts w:cs="Arial"/>
          <w:szCs w:val="20"/>
        </w:rPr>
      </w:pPr>
      <w:r>
        <w:rPr>
          <w:rFonts w:cs="Arial"/>
          <w:szCs w:val="20"/>
        </w:rPr>
        <w:tab/>
        <w:t xml:space="preserve">Public meetings were conducted to gather input about the effect of CPIs within the </w:t>
      </w:r>
      <w:r w:rsidR="004428B8">
        <w:rPr>
          <w:rFonts w:cs="Arial"/>
          <w:szCs w:val="20"/>
        </w:rPr>
        <w:tab/>
      </w:r>
      <w:r>
        <w:rPr>
          <w:rFonts w:cs="Arial"/>
          <w:szCs w:val="20"/>
        </w:rPr>
        <w:t xml:space="preserve">International District.  This meeting was also attended by licensees and residents of </w:t>
      </w:r>
      <w:r w:rsidR="004428B8">
        <w:rPr>
          <w:rFonts w:cs="Arial"/>
          <w:szCs w:val="20"/>
        </w:rPr>
        <w:tab/>
      </w:r>
      <w:r>
        <w:rPr>
          <w:rFonts w:cs="Arial"/>
          <w:szCs w:val="20"/>
        </w:rPr>
        <w:t xml:space="preserve">the South Perry neighborhood.  </w:t>
      </w:r>
      <w:r w:rsidR="004428B8">
        <w:rPr>
          <w:rFonts w:cs="Arial"/>
          <w:szCs w:val="20"/>
        </w:rPr>
        <w:t>All attendees reached a m</w:t>
      </w:r>
      <w:r>
        <w:rPr>
          <w:rFonts w:cs="Arial"/>
          <w:szCs w:val="20"/>
        </w:rPr>
        <w:t xml:space="preserve">utual agreement to expand </w:t>
      </w:r>
      <w:r w:rsidR="004428B8">
        <w:rPr>
          <w:rFonts w:cs="Arial"/>
          <w:szCs w:val="20"/>
        </w:rPr>
        <w:tab/>
      </w:r>
      <w:r>
        <w:rPr>
          <w:rFonts w:cs="Arial"/>
          <w:szCs w:val="20"/>
        </w:rPr>
        <w:t xml:space="preserve">the East Central Alcohol Impact Area boundary to include the South Perry </w:t>
      </w:r>
      <w:r w:rsidR="004428B8">
        <w:rPr>
          <w:rFonts w:cs="Arial"/>
          <w:szCs w:val="20"/>
        </w:rPr>
        <w:tab/>
      </w:r>
      <w:r>
        <w:rPr>
          <w:rFonts w:cs="Arial"/>
          <w:szCs w:val="20"/>
        </w:rPr>
        <w:t>neighborhood.</w:t>
      </w:r>
    </w:p>
    <w:p w:rsidR="00804757" w:rsidRDefault="00804757" w:rsidP="00B04C7C">
      <w:pPr>
        <w:pStyle w:val="ListParagraph"/>
        <w:tabs>
          <w:tab w:val="left" w:pos="-3240"/>
          <w:tab w:val="left" w:pos="-2700"/>
          <w:tab w:val="left" w:pos="3240"/>
        </w:tabs>
        <w:ind w:left="1170"/>
        <w:rPr>
          <w:rFonts w:cs="Arial"/>
          <w:szCs w:val="20"/>
        </w:rPr>
      </w:pPr>
    </w:p>
    <w:p w:rsidR="004428B8" w:rsidRDefault="004428B8" w:rsidP="004428B8">
      <w:pPr>
        <w:pStyle w:val="ListParagraph"/>
        <w:numPr>
          <w:ilvl w:val="0"/>
          <w:numId w:val="27"/>
        </w:numPr>
        <w:tabs>
          <w:tab w:val="left" w:pos="-3240"/>
          <w:tab w:val="left" w:pos="-2700"/>
          <w:tab w:val="left" w:pos="3240"/>
        </w:tabs>
        <w:ind w:left="1170" w:hanging="450"/>
        <w:rPr>
          <w:rFonts w:cs="Arial"/>
          <w:szCs w:val="20"/>
        </w:rPr>
      </w:pPr>
      <w:r>
        <w:rPr>
          <w:rFonts w:cs="Arial"/>
          <w:szCs w:val="20"/>
        </w:rPr>
        <w:t>August, 2011</w:t>
      </w:r>
      <w:r>
        <w:rPr>
          <w:rFonts w:cs="Arial"/>
          <w:szCs w:val="20"/>
        </w:rPr>
        <w:tab/>
        <w:t xml:space="preserve">City amended the boundaries of the East Central Alcohol Impact Area to include the </w:t>
      </w:r>
      <w:r>
        <w:rPr>
          <w:rFonts w:cs="Arial"/>
          <w:szCs w:val="20"/>
        </w:rPr>
        <w:tab/>
        <w:t>South Perry neighborhood.</w:t>
      </w:r>
    </w:p>
    <w:p w:rsidR="004428B8" w:rsidRDefault="004428B8" w:rsidP="004428B8">
      <w:pPr>
        <w:tabs>
          <w:tab w:val="left" w:pos="-3240"/>
          <w:tab w:val="left" w:pos="-2700"/>
          <w:tab w:val="left" w:pos="3240"/>
        </w:tabs>
        <w:rPr>
          <w:rFonts w:cs="Arial"/>
          <w:szCs w:val="20"/>
        </w:rPr>
      </w:pPr>
    </w:p>
    <w:p w:rsidR="00AB63C6" w:rsidRPr="004428B8" w:rsidRDefault="002C0F0D" w:rsidP="00333A07">
      <w:pPr>
        <w:tabs>
          <w:tab w:val="left" w:pos="-3240"/>
          <w:tab w:val="left" w:pos="-2700"/>
          <w:tab w:val="left" w:pos="3240"/>
        </w:tabs>
        <w:ind w:left="630"/>
        <w:rPr>
          <w:rFonts w:cs="Arial"/>
          <w:szCs w:val="20"/>
        </w:rPr>
      </w:pPr>
      <w:r>
        <w:rPr>
          <w:rFonts w:cs="Arial"/>
          <w:szCs w:val="20"/>
        </w:rPr>
        <w:t xml:space="preserve">There are 13 licensees currently in the East Central Alcohol Impact Area.  </w:t>
      </w:r>
      <w:r w:rsidR="004428B8">
        <w:rPr>
          <w:rFonts w:cs="Arial"/>
          <w:szCs w:val="20"/>
        </w:rPr>
        <w:t>For the next six months the city and community group(s) actively sought voluntary compliance in the expanded East Central Alcohol Impact Area.  However, their efforts did not produce voluntary compliance so the city submitted a request for mandatory recognition of the East Central Alcohol Impact Area.</w:t>
      </w:r>
    </w:p>
    <w:p w:rsidR="00C5501F" w:rsidRPr="000A4971" w:rsidRDefault="00C5501F" w:rsidP="000A4971">
      <w:pPr>
        <w:pStyle w:val="PMOBody"/>
        <w:spacing w:before="60"/>
        <w:rPr>
          <w:rFonts w:ascii="Arial" w:hAnsi="Arial" w:cs="Arial"/>
          <w:sz w:val="20"/>
          <w:szCs w:val="20"/>
        </w:rPr>
      </w:pPr>
    </w:p>
    <w:p w:rsidR="00C5501F" w:rsidRDefault="00C5501F" w:rsidP="000A4971">
      <w:pPr>
        <w:pStyle w:val="PMOHeading2"/>
        <w:spacing w:before="60"/>
        <w:rPr>
          <w:rFonts w:ascii="Arial" w:hAnsi="Arial" w:cs="Arial"/>
          <w:sz w:val="20"/>
        </w:rPr>
      </w:pPr>
      <w:r w:rsidRPr="000A4971">
        <w:rPr>
          <w:rFonts w:ascii="Arial" w:hAnsi="Arial" w:cs="Arial"/>
          <w:sz w:val="20"/>
        </w:rPr>
        <w:t>Recommendations</w:t>
      </w:r>
    </w:p>
    <w:p w:rsidR="00AB63C6" w:rsidRPr="000A4971" w:rsidRDefault="00AB63C6" w:rsidP="000A4971">
      <w:pPr>
        <w:pStyle w:val="PMOHeading2"/>
        <w:spacing w:before="60"/>
        <w:rPr>
          <w:rFonts w:ascii="Arial" w:hAnsi="Arial" w:cs="Arial"/>
          <w:color w:val="808080"/>
          <w:sz w:val="20"/>
        </w:rPr>
      </w:pPr>
    </w:p>
    <w:tbl>
      <w:tblPr>
        <w:tblW w:w="0" w:type="auto"/>
        <w:tblInd w:w="720" w:type="dxa"/>
        <w:tblLook w:val="04A0"/>
      </w:tblPr>
      <w:tblGrid>
        <w:gridCol w:w="9576"/>
      </w:tblGrid>
      <w:tr w:rsidR="002E503D" w:rsidRPr="00A97C42" w:rsidTr="0004571A">
        <w:tc>
          <w:tcPr>
            <w:tcW w:w="9576" w:type="dxa"/>
          </w:tcPr>
          <w:p w:rsidR="002E503D" w:rsidRDefault="00333A07" w:rsidP="003F0DC8">
            <w:pPr>
              <w:pStyle w:val="PMOBody"/>
              <w:spacing w:before="60"/>
              <w:ind w:left="0"/>
              <w:rPr>
                <w:rFonts w:ascii="Arial" w:hAnsi="Arial" w:cs="Arial"/>
                <w:sz w:val="20"/>
                <w:szCs w:val="20"/>
              </w:rPr>
            </w:pPr>
            <w:r>
              <w:rPr>
                <w:rFonts w:ascii="Arial" w:hAnsi="Arial" w:cs="Arial"/>
                <w:sz w:val="20"/>
                <w:szCs w:val="20"/>
              </w:rPr>
              <w:t>The city, in partnership with the community, has demonstrated the efforts to obtain voluntary compliance in the East Central Alcohol Impact Area to the satisfaction of WAC 314.12.  Staff recommends;</w:t>
            </w:r>
          </w:p>
          <w:p w:rsidR="00333A07" w:rsidRDefault="00333A07" w:rsidP="00333A07">
            <w:pPr>
              <w:pStyle w:val="PMOBody"/>
              <w:numPr>
                <w:ilvl w:val="0"/>
                <w:numId w:val="27"/>
              </w:numPr>
              <w:spacing w:before="60"/>
              <w:ind w:left="720" w:hanging="720"/>
              <w:rPr>
                <w:rFonts w:ascii="Arial" w:hAnsi="Arial" w:cs="Arial"/>
                <w:sz w:val="20"/>
                <w:szCs w:val="20"/>
              </w:rPr>
            </w:pPr>
            <w:r>
              <w:rPr>
                <w:rFonts w:ascii="Arial" w:hAnsi="Arial" w:cs="Arial"/>
                <w:sz w:val="20"/>
                <w:szCs w:val="20"/>
              </w:rPr>
              <w:t>The Board adopts the city’s petition for mandatory recognition of the East Central Alcohol Impact Area, and authorizes the public comment period during which the Licensing division will collect data and report to the Board at a future date to be determined.</w:t>
            </w:r>
          </w:p>
          <w:p w:rsidR="00333A07" w:rsidRPr="00A97C42" w:rsidRDefault="00333A07" w:rsidP="00333A07">
            <w:pPr>
              <w:pStyle w:val="PMOBody"/>
              <w:numPr>
                <w:ilvl w:val="0"/>
                <w:numId w:val="27"/>
              </w:numPr>
              <w:spacing w:before="60"/>
              <w:ind w:left="720" w:hanging="720"/>
              <w:rPr>
                <w:rFonts w:ascii="Arial" w:hAnsi="Arial" w:cs="Arial"/>
                <w:sz w:val="20"/>
                <w:szCs w:val="20"/>
              </w:rPr>
            </w:pPr>
            <w:r>
              <w:rPr>
                <w:rFonts w:ascii="Arial" w:hAnsi="Arial" w:cs="Arial"/>
                <w:sz w:val="20"/>
                <w:szCs w:val="20"/>
              </w:rPr>
              <w:t>The Licensing division is already receiving public comments from the customers of one licensee.  Staff recommends the Board conduct the public hearing in Spokane to allow easier accessibility to the constituents that are being impacted.</w:t>
            </w:r>
          </w:p>
        </w:tc>
      </w:tr>
    </w:tbl>
    <w:p w:rsidR="002E503D" w:rsidRPr="000A4971" w:rsidRDefault="002E503D" w:rsidP="000A4971">
      <w:pPr>
        <w:pStyle w:val="PMOBody"/>
        <w:spacing w:before="60"/>
        <w:rPr>
          <w:rFonts w:ascii="Arial" w:hAnsi="Arial" w:cs="Arial"/>
          <w:sz w:val="20"/>
          <w:szCs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973"/>
      </w:tblGrid>
      <w:tr w:rsidR="00C5501F" w:rsidRPr="000A4971" w:rsidTr="000A4971">
        <w:tc>
          <w:tcPr>
            <w:tcW w:w="3947" w:type="dxa"/>
            <w:shd w:val="clear" w:color="auto" w:fill="D9D9D9"/>
          </w:tcPr>
          <w:p w:rsidR="00C5501F" w:rsidRPr="000A4971" w:rsidRDefault="00C5501F" w:rsidP="000A4971">
            <w:pPr>
              <w:pStyle w:val="PMOBody"/>
              <w:spacing w:before="60"/>
              <w:ind w:left="0"/>
              <w:rPr>
                <w:rFonts w:ascii="Arial" w:hAnsi="Arial" w:cs="Arial"/>
                <w:b/>
                <w:sz w:val="20"/>
                <w:szCs w:val="20"/>
              </w:rPr>
            </w:pPr>
            <w:r w:rsidRPr="000A4971">
              <w:rPr>
                <w:rFonts w:ascii="Arial" w:hAnsi="Arial" w:cs="Arial"/>
                <w:b/>
                <w:sz w:val="20"/>
                <w:szCs w:val="20"/>
              </w:rPr>
              <w:t>Benefits</w:t>
            </w:r>
          </w:p>
        </w:tc>
        <w:tc>
          <w:tcPr>
            <w:tcW w:w="3973" w:type="dxa"/>
            <w:shd w:val="clear" w:color="auto" w:fill="D9D9D9"/>
          </w:tcPr>
          <w:p w:rsidR="00C5501F" w:rsidRPr="000A4971" w:rsidRDefault="00C5501F" w:rsidP="000A4971">
            <w:pPr>
              <w:pStyle w:val="PMOBody"/>
              <w:spacing w:before="60"/>
              <w:ind w:left="0"/>
              <w:rPr>
                <w:rFonts w:ascii="Arial" w:hAnsi="Arial" w:cs="Arial"/>
                <w:b/>
                <w:sz w:val="20"/>
                <w:szCs w:val="20"/>
              </w:rPr>
            </w:pPr>
            <w:r w:rsidRPr="000A4971">
              <w:rPr>
                <w:rFonts w:ascii="Arial" w:hAnsi="Arial" w:cs="Arial"/>
                <w:b/>
                <w:sz w:val="20"/>
                <w:szCs w:val="20"/>
              </w:rPr>
              <w:t>Drawbacks</w:t>
            </w:r>
          </w:p>
        </w:tc>
      </w:tr>
      <w:tr w:rsidR="00C5501F" w:rsidRPr="000A4971" w:rsidTr="000A4971">
        <w:tc>
          <w:tcPr>
            <w:tcW w:w="3947" w:type="dxa"/>
          </w:tcPr>
          <w:p w:rsidR="00F774E0" w:rsidRPr="000A4971" w:rsidRDefault="00F774E0" w:rsidP="00F774E0">
            <w:pPr>
              <w:pStyle w:val="PMOBody"/>
              <w:numPr>
                <w:ilvl w:val="0"/>
                <w:numId w:val="23"/>
              </w:numPr>
              <w:spacing w:before="60"/>
              <w:rPr>
                <w:rFonts w:ascii="Arial" w:hAnsi="Arial" w:cs="Arial"/>
                <w:sz w:val="20"/>
                <w:szCs w:val="20"/>
              </w:rPr>
            </w:pPr>
            <w:r>
              <w:rPr>
                <w:rFonts w:ascii="Arial" w:hAnsi="Arial" w:cs="Arial"/>
                <w:sz w:val="20"/>
                <w:szCs w:val="20"/>
              </w:rPr>
              <w:t>There can be more consistent enforcement activities</w:t>
            </w:r>
          </w:p>
          <w:p w:rsidR="00F774E0" w:rsidRDefault="00F774E0" w:rsidP="00F774E0">
            <w:pPr>
              <w:pStyle w:val="PMOBody"/>
              <w:numPr>
                <w:ilvl w:val="0"/>
                <w:numId w:val="23"/>
              </w:numPr>
              <w:spacing w:before="60"/>
              <w:rPr>
                <w:rFonts w:ascii="Arial" w:hAnsi="Arial" w:cs="Arial"/>
                <w:sz w:val="20"/>
                <w:szCs w:val="20"/>
              </w:rPr>
            </w:pPr>
            <w:r>
              <w:rPr>
                <w:rFonts w:ascii="Arial" w:hAnsi="Arial" w:cs="Arial"/>
                <w:sz w:val="20"/>
                <w:szCs w:val="20"/>
              </w:rPr>
              <w:t>Distributors and retailers can more easily comply with the amended list</w:t>
            </w:r>
          </w:p>
          <w:p w:rsidR="00F774E0" w:rsidRDefault="00F774E0" w:rsidP="00F774E0">
            <w:pPr>
              <w:pStyle w:val="PMOBody"/>
              <w:numPr>
                <w:ilvl w:val="0"/>
                <w:numId w:val="23"/>
              </w:numPr>
              <w:spacing w:before="60"/>
              <w:rPr>
                <w:rFonts w:ascii="Arial" w:hAnsi="Arial" w:cs="Arial"/>
                <w:sz w:val="20"/>
                <w:szCs w:val="20"/>
              </w:rPr>
            </w:pPr>
            <w:r>
              <w:rPr>
                <w:rFonts w:ascii="Arial" w:hAnsi="Arial" w:cs="Arial"/>
                <w:sz w:val="20"/>
                <w:szCs w:val="20"/>
              </w:rPr>
              <w:t>Monitoring of consumer activities will be more productive</w:t>
            </w:r>
          </w:p>
          <w:p w:rsidR="00C5501F" w:rsidRPr="000A4971" w:rsidRDefault="00F774E0" w:rsidP="00F774E0">
            <w:pPr>
              <w:pStyle w:val="PMOBody"/>
              <w:numPr>
                <w:ilvl w:val="0"/>
                <w:numId w:val="23"/>
              </w:numPr>
              <w:spacing w:before="60"/>
              <w:rPr>
                <w:rFonts w:ascii="Arial" w:hAnsi="Arial" w:cs="Arial"/>
                <w:sz w:val="20"/>
                <w:szCs w:val="20"/>
              </w:rPr>
            </w:pPr>
            <w:r>
              <w:rPr>
                <w:rFonts w:ascii="Arial" w:hAnsi="Arial" w:cs="Arial"/>
                <w:sz w:val="20"/>
                <w:szCs w:val="20"/>
              </w:rPr>
              <w:t>Assist the city in maximizing available resources</w:t>
            </w:r>
            <w:r w:rsidR="0004571A" w:rsidRPr="000A4971">
              <w:rPr>
                <w:rFonts w:ascii="Arial" w:hAnsi="Arial" w:cs="Arial"/>
                <w:sz w:val="20"/>
                <w:szCs w:val="20"/>
              </w:rPr>
              <w:t xml:space="preserve"> </w:t>
            </w:r>
          </w:p>
        </w:tc>
        <w:tc>
          <w:tcPr>
            <w:tcW w:w="3973" w:type="dxa"/>
          </w:tcPr>
          <w:p w:rsidR="00F774E0" w:rsidRPr="000A4971" w:rsidRDefault="00F774E0" w:rsidP="00F774E0">
            <w:pPr>
              <w:pStyle w:val="PMOBody"/>
              <w:numPr>
                <w:ilvl w:val="0"/>
                <w:numId w:val="23"/>
              </w:numPr>
              <w:spacing w:before="60"/>
              <w:rPr>
                <w:rFonts w:ascii="Arial" w:hAnsi="Arial" w:cs="Arial"/>
                <w:sz w:val="20"/>
                <w:szCs w:val="20"/>
              </w:rPr>
            </w:pPr>
            <w:r>
              <w:rPr>
                <w:rFonts w:ascii="Arial" w:hAnsi="Arial" w:cs="Arial"/>
                <w:sz w:val="20"/>
                <w:szCs w:val="20"/>
              </w:rPr>
              <w:t>We may receive objections related to the negative economic impact</w:t>
            </w:r>
          </w:p>
          <w:p w:rsidR="00F008D0" w:rsidRDefault="00F774E0" w:rsidP="00F774E0">
            <w:pPr>
              <w:pStyle w:val="PMOBody"/>
              <w:numPr>
                <w:ilvl w:val="0"/>
                <w:numId w:val="23"/>
              </w:numPr>
              <w:spacing w:before="60"/>
              <w:rPr>
                <w:rFonts w:ascii="Arial" w:hAnsi="Arial" w:cs="Arial"/>
                <w:sz w:val="20"/>
                <w:szCs w:val="20"/>
              </w:rPr>
            </w:pPr>
            <w:r>
              <w:rPr>
                <w:rFonts w:ascii="Arial" w:hAnsi="Arial" w:cs="Arial"/>
                <w:sz w:val="20"/>
                <w:szCs w:val="20"/>
              </w:rPr>
              <w:t>Suppliers may object to their products being added to the list</w:t>
            </w:r>
          </w:p>
        </w:tc>
      </w:tr>
    </w:tbl>
    <w:p w:rsidR="003F0DC8" w:rsidRDefault="003F0DC8">
      <w:pPr>
        <w:rPr>
          <w:rFonts w:cs="Arial"/>
          <w:b/>
          <w:szCs w:val="20"/>
        </w:rPr>
      </w:pPr>
    </w:p>
    <w:p w:rsidR="006A42CA" w:rsidRPr="000A4971" w:rsidRDefault="00993F5A" w:rsidP="000A4971">
      <w:pPr>
        <w:pStyle w:val="PMOHeading2"/>
        <w:spacing w:before="60"/>
        <w:rPr>
          <w:rFonts w:ascii="Arial" w:hAnsi="Arial" w:cs="Arial"/>
          <w:color w:val="808080"/>
          <w:sz w:val="20"/>
        </w:rPr>
      </w:pPr>
      <w:r w:rsidRPr="000A4971">
        <w:rPr>
          <w:rFonts w:ascii="Arial" w:hAnsi="Arial" w:cs="Arial"/>
          <w:sz w:val="20"/>
        </w:rPr>
        <w:t>Expected Results</w:t>
      </w:r>
    </w:p>
    <w:p w:rsidR="006B222B" w:rsidRPr="000A4971" w:rsidRDefault="006B222B" w:rsidP="000A4971">
      <w:pPr>
        <w:pStyle w:val="PMOBody"/>
        <w:spacing w:before="60"/>
        <w:rPr>
          <w:rFonts w:ascii="Arial" w:hAnsi="Arial" w:cs="Arial"/>
          <w:sz w:val="20"/>
          <w:szCs w:val="20"/>
        </w:rPr>
      </w:pPr>
    </w:p>
    <w:tbl>
      <w:tblPr>
        <w:tblW w:w="0" w:type="auto"/>
        <w:tblInd w:w="720" w:type="dxa"/>
        <w:tblLook w:val="04A0"/>
      </w:tblPr>
      <w:tblGrid>
        <w:gridCol w:w="9576"/>
      </w:tblGrid>
      <w:tr w:rsidR="002E503D" w:rsidRPr="00A97C42" w:rsidTr="0004571A">
        <w:tc>
          <w:tcPr>
            <w:tcW w:w="9576" w:type="dxa"/>
          </w:tcPr>
          <w:p w:rsidR="002E503D" w:rsidRPr="00A97C42" w:rsidRDefault="000A2C89" w:rsidP="0004571A">
            <w:pPr>
              <w:pStyle w:val="PMOBody"/>
              <w:spacing w:before="60"/>
              <w:ind w:left="0"/>
              <w:rPr>
                <w:rFonts w:ascii="Arial" w:hAnsi="Arial" w:cs="Arial"/>
                <w:sz w:val="20"/>
                <w:szCs w:val="20"/>
              </w:rPr>
            </w:pPr>
            <w:r>
              <w:rPr>
                <w:rFonts w:ascii="Arial" w:hAnsi="Arial" w:cs="Arial"/>
                <w:sz w:val="20"/>
                <w:szCs w:val="20"/>
              </w:rPr>
              <w:t>The Board’s endorsement of this</w:t>
            </w:r>
            <w:r w:rsidR="00377C9E">
              <w:rPr>
                <w:rFonts w:ascii="Arial" w:hAnsi="Arial" w:cs="Arial"/>
                <w:sz w:val="20"/>
                <w:szCs w:val="20"/>
              </w:rPr>
              <w:t xml:space="preserve"> request will help maximize enforcement efforts, and improve the health and safety of the community.</w:t>
            </w:r>
            <w:r w:rsidR="0004571A" w:rsidRPr="00A97C42">
              <w:rPr>
                <w:rFonts w:ascii="Arial" w:hAnsi="Arial" w:cs="Arial"/>
                <w:sz w:val="20"/>
                <w:szCs w:val="20"/>
              </w:rPr>
              <w:t xml:space="preserve"> </w:t>
            </w:r>
          </w:p>
        </w:tc>
      </w:tr>
    </w:tbl>
    <w:p w:rsidR="006966F5" w:rsidRPr="000A4971" w:rsidRDefault="005F4B1D" w:rsidP="000A4971">
      <w:pPr>
        <w:pStyle w:val="PMOHeading2"/>
        <w:spacing w:before="60"/>
        <w:rPr>
          <w:rFonts w:ascii="Arial" w:hAnsi="Arial" w:cs="Arial"/>
          <w:sz w:val="20"/>
        </w:rPr>
      </w:pPr>
      <w:r w:rsidRPr="000A4971">
        <w:rPr>
          <w:rFonts w:ascii="Arial" w:hAnsi="Arial" w:cs="Arial"/>
          <w:sz w:val="20"/>
        </w:rPr>
        <w:lastRenderedPageBreak/>
        <w:t>Estimated Cost and Timeframe</w:t>
      </w:r>
    </w:p>
    <w:p w:rsidR="006966F5" w:rsidRPr="000A4971" w:rsidRDefault="006966F5" w:rsidP="000A4971">
      <w:pPr>
        <w:pStyle w:val="PMOHeading2"/>
        <w:spacing w:before="60"/>
        <w:rPr>
          <w:rFonts w:ascii="Arial" w:hAnsi="Arial" w:cs="Arial"/>
          <w:b w:val="0"/>
          <w:sz w:val="20"/>
        </w:rPr>
      </w:pPr>
    </w:p>
    <w:tbl>
      <w:tblPr>
        <w:tblStyle w:val="TableGrid"/>
        <w:tblW w:w="0" w:type="auto"/>
        <w:tblInd w:w="720" w:type="dxa"/>
        <w:tblLook w:val="04A0"/>
      </w:tblPr>
      <w:tblGrid>
        <w:gridCol w:w="1188"/>
        <w:gridCol w:w="5284"/>
        <w:gridCol w:w="3248"/>
      </w:tblGrid>
      <w:tr w:rsidR="00F16D6A" w:rsidTr="00B4105E">
        <w:trPr>
          <w:cantSplit/>
          <w:tblHeader/>
        </w:trPr>
        <w:tc>
          <w:tcPr>
            <w:tcW w:w="1188" w:type="dxa"/>
          </w:tcPr>
          <w:p w:rsidR="00F16D6A" w:rsidRPr="00F16D6A" w:rsidRDefault="00F16D6A" w:rsidP="000A4971">
            <w:pPr>
              <w:pStyle w:val="PMOHeading2"/>
              <w:spacing w:before="60"/>
              <w:ind w:left="0"/>
              <w:rPr>
                <w:rFonts w:ascii="Arial" w:hAnsi="Arial" w:cs="Arial"/>
                <w:sz w:val="20"/>
              </w:rPr>
            </w:pPr>
            <w:r>
              <w:rPr>
                <w:rFonts w:ascii="Arial" w:hAnsi="Arial" w:cs="Arial"/>
                <w:sz w:val="20"/>
              </w:rPr>
              <w:t>Date</w:t>
            </w:r>
          </w:p>
        </w:tc>
        <w:tc>
          <w:tcPr>
            <w:tcW w:w="5284" w:type="dxa"/>
          </w:tcPr>
          <w:p w:rsidR="00F16D6A" w:rsidRPr="00B4105E" w:rsidRDefault="00F16D6A" w:rsidP="000A4971">
            <w:pPr>
              <w:pStyle w:val="PMOHeading2"/>
              <w:spacing w:before="60"/>
              <w:ind w:left="0"/>
              <w:rPr>
                <w:rFonts w:ascii="Arial" w:hAnsi="Arial" w:cs="Arial"/>
                <w:sz w:val="20"/>
              </w:rPr>
            </w:pPr>
            <w:r w:rsidRPr="00B4105E">
              <w:rPr>
                <w:rFonts w:ascii="Arial" w:hAnsi="Arial" w:cs="Arial"/>
                <w:sz w:val="20"/>
              </w:rPr>
              <w:t>Activity</w:t>
            </w:r>
          </w:p>
        </w:tc>
        <w:tc>
          <w:tcPr>
            <w:tcW w:w="3248" w:type="dxa"/>
          </w:tcPr>
          <w:p w:rsidR="00F16D6A" w:rsidRPr="00B4105E" w:rsidRDefault="00F16D6A" w:rsidP="000A4971">
            <w:pPr>
              <w:pStyle w:val="PMOHeading2"/>
              <w:spacing w:before="60"/>
              <w:ind w:left="0"/>
              <w:rPr>
                <w:rFonts w:ascii="Arial" w:hAnsi="Arial" w:cs="Arial"/>
                <w:sz w:val="20"/>
              </w:rPr>
            </w:pPr>
            <w:r w:rsidRPr="00B4105E">
              <w:rPr>
                <w:rFonts w:ascii="Arial" w:hAnsi="Arial" w:cs="Arial"/>
                <w:sz w:val="20"/>
              </w:rPr>
              <w:t>Current Status</w:t>
            </w:r>
          </w:p>
        </w:tc>
      </w:tr>
      <w:tr w:rsidR="003F0DC8" w:rsidTr="00F16D6A">
        <w:tc>
          <w:tcPr>
            <w:tcW w:w="1188" w:type="dxa"/>
          </w:tcPr>
          <w:p w:rsidR="003F0DC8" w:rsidRDefault="00DE4016" w:rsidP="00E835EC">
            <w:pPr>
              <w:pStyle w:val="PMOHeading2"/>
              <w:spacing w:before="60"/>
              <w:ind w:left="0"/>
              <w:rPr>
                <w:rFonts w:ascii="Arial" w:hAnsi="Arial" w:cs="Arial"/>
                <w:b w:val="0"/>
                <w:sz w:val="20"/>
              </w:rPr>
            </w:pPr>
            <w:r>
              <w:rPr>
                <w:rFonts w:ascii="Arial" w:hAnsi="Arial" w:cs="Arial"/>
                <w:b w:val="0"/>
                <w:sz w:val="20"/>
              </w:rPr>
              <w:t>May 9, 2012</w:t>
            </w:r>
          </w:p>
        </w:tc>
        <w:tc>
          <w:tcPr>
            <w:tcW w:w="5284" w:type="dxa"/>
          </w:tcPr>
          <w:p w:rsidR="003F0DC8" w:rsidRDefault="003F0DC8" w:rsidP="003F0DC8">
            <w:pPr>
              <w:pStyle w:val="PMOHeading2"/>
              <w:spacing w:before="60"/>
              <w:ind w:left="0"/>
              <w:rPr>
                <w:rFonts w:ascii="Arial" w:hAnsi="Arial" w:cs="Arial"/>
                <w:b w:val="0"/>
                <w:sz w:val="20"/>
              </w:rPr>
            </w:pPr>
            <w:r>
              <w:rPr>
                <w:rFonts w:ascii="Arial" w:hAnsi="Arial" w:cs="Arial"/>
                <w:b w:val="0"/>
                <w:sz w:val="20"/>
              </w:rPr>
              <w:t>Present city’s request for banned product expansion</w:t>
            </w:r>
          </w:p>
        </w:tc>
        <w:tc>
          <w:tcPr>
            <w:tcW w:w="3248" w:type="dxa"/>
          </w:tcPr>
          <w:p w:rsidR="003F0DC8" w:rsidRDefault="00DE4016" w:rsidP="000A4971">
            <w:pPr>
              <w:pStyle w:val="PMOHeading2"/>
              <w:spacing w:before="60"/>
              <w:ind w:left="0"/>
              <w:rPr>
                <w:rFonts w:ascii="Arial" w:hAnsi="Arial" w:cs="Arial"/>
                <w:b w:val="0"/>
                <w:sz w:val="20"/>
              </w:rPr>
            </w:pPr>
            <w:r>
              <w:rPr>
                <w:rFonts w:ascii="Arial" w:hAnsi="Arial" w:cs="Arial"/>
                <w:b w:val="0"/>
                <w:sz w:val="20"/>
              </w:rPr>
              <w:t>Pending</w:t>
            </w:r>
          </w:p>
        </w:tc>
      </w:tr>
      <w:tr w:rsidR="00DE4016" w:rsidTr="00F16D6A">
        <w:tc>
          <w:tcPr>
            <w:tcW w:w="1188" w:type="dxa"/>
          </w:tcPr>
          <w:p w:rsidR="00DE4016" w:rsidRDefault="00DE4016" w:rsidP="00DE4016">
            <w:pPr>
              <w:pStyle w:val="PMOHeading2"/>
              <w:spacing w:before="60"/>
              <w:ind w:left="0"/>
              <w:rPr>
                <w:rFonts w:ascii="Arial" w:hAnsi="Arial" w:cs="Arial"/>
                <w:b w:val="0"/>
                <w:sz w:val="20"/>
              </w:rPr>
            </w:pPr>
            <w:r>
              <w:rPr>
                <w:rFonts w:ascii="Arial" w:hAnsi="Arial" w:cs="Arial"/>
                <w:b w:val="0"/>
                <w:sz w:val="20"/>
              </w:rPr>
              <w:t>May 14, 2012</w:t>
            </w:r>
          </w:p>
        </w:tc>
        <w:tc>
          <w:tcPr>
            <w:tcW w:w="5284" w:type="dxa"/>
          </w:tcPr>
          <w:p w:rsidR="00DE4016" w:rsidRDefault="00DE4016" w:rsidP="003F0DC8">
            <w:pPr>
              <w:pStyle w:val="PMOHeading2"/>
              <w:spacing w:before="60"/>
              <w:ind w:left="0"/>
              <w:rPr>
                <w:rFonts w:ascii="Arial" w:hAnsi="Arial" w:cs="Arial"/>
                <w:b w:val="0"/>
                <w:sz w:val="20"/>
              </w:rPr>
            </w:pPr>
            <w:r>
              <w:rPr>
                <w:rFonts w:ascii="Arial" w:hAnsi="Arial" w:cs="Arial"/>
                <w:b w:val="0"/>
                <w:sz w:val="20"/>
              </w:rPr>
              <w:t>Distribute notice to licensees, stakeholders, and interested parties.</w:t>
            </w:r>
          </w:p>
        </w:tc>
        <w:tc>
          <w:tcPr>
            <w:tcW w:w="3248" w:type="dxa"/>
          </w:tcPr>
          <w:p w:rsidR="00DE4016" w:rsidRDefault="00DE4016" w:rsidP="000A4971">
            <w:pPr>
              <w:pStyle w:val="PMOHeading2"/>
              <w:spacing w:before="60"/>
              <w:ind w:left="0"/>
              <w:rPr>
                <w:rFonts w:ascii="Arial" w:hAnsi="Arial" w:cs="Arial"/>
                <w:b w:val="0"/>
                <w:sz w:val="20"/>
              </w:rPr>
            </w:pPr>
            <w:r>
              <w:rPr>
                <w:rFonts w:ascii="Arial" w:hAnsi="Arial" w:cs="Arial"/>
                <w:b w:val="0"/>
                <w:sz w:val="20"/>
              </w:rPr>
              <w:t>Pending</w:t>
            </w:r>
          </w:p>
        </w:tc>
      </w:tr>
      <w:tr w:rsidR="00F16D6A" w:rsidTr="00F16D6A">
        <w:tc>
          <w:tcPr>
            <w:tcW w:w="1188" w:type="dxa"/>
          </w:tcPr>
          <w:p w:rsidR="00F16D6A" w:rsidRDefault="00DE4016" w:rsidP="000A4971">
            <w:pPr>
              <w:pStyle w:val="PMOHeading2"/>
              <w:spacing w:before="60"/>
              <w:ind w:left="0"/>
              <w:rPr>
                <w:rFonts w:ascii="Arial" w:hAnsi="Arial" w:cs="Arial"/>
                <w:b w:val="0"/>
                <w:sz w:val="20"/>
              </w:rPr>
            </w:pPr>
            <w:r>
              <w:rPr>
                <w:rFonts w:ascii="Arial" w:hAnsi="Arial" w:cs="Arial"/>
                <w:b w:val="0"/>
                <w:sz w:val="20"/>
              </w:rPr>
              <w:t>June 15,2012</w:t>
            </w:r>
          </w:p>
        </w:tc>
        <w:tc>
          <w:tcPr>
            <w:tcW w:w="5284" w:type="dxa"/>
          </w:tcPr>
          <w:p w:rsidR="00F16D6A" w:rsidRDefault="00B4105E" w:rsidP="003F0DC8">
            <w:pPr>
              <w:pStyle w:val="PMOHeading2"/>
              <w:spacing w:before="60"/>
              <w:ind w:left="0"/>
              <w:rPr>
                <w:rFonts w:ascii="Arial" w:hAnsi="Arial" w:cs="Arial"/>
                <w:b w:val="0"/>
                <w:sz w:val="20"/>
              </w:rPr>
            </w:pPr>
            <w:r>
              <w:rPr>
                <w:rFonts w:ascii="Arial" w:hAnsi="Arial" w:cs="Arial"/>
                <w:b w:val="0"/>
                <w:sz w:val="20"/>
              </w:rPr>
              <w:t>Public comment period end</w:t>
            </w:r>
            <w:r w:rsidR="003F0DC8">
              <w:rPr>
                <w:rFonts w:ascii="Arial" w:hAnsi="Arial" w:cs="Arial"/>
                <w:b w:val="0"/>
                <w:sz w:val="20"/>
              </w:rPr>
              <w:t>ing</w:t>
            </w:r>
          </w:p>
        </w:tc>
        <w:tc>
          <w:tcPr>
            <w:tcW w:w="3248" w:type="dxa"/>
          </w:tcPr>
          <w:p w:rsidR="00B4105E" w:rsidRDefault="00DE4016" w:rsidP="000A4971">
            <w:pPr>
              <w:pStyle w:val="PMOHeading2"/>
              <w:spacing w:before="60"/>
              <w:ind w:left="0"/>
              <w:rPr>
                <w:rFonts w:ascii="Arial" w:hAnsi="Arial" w:cs="Arial"/>
                <w:b w:val="0"/>
                <w:sz w:val="20"/>
              </w:rPr>
            </w:pPr>
            <w:r>
              <w:rPr>
                <w:rFonts w:ascii="Arial" w:hAnsi="Arial" w:cs="Arial"/>
                <w:b w:val="0"/>
                <w:sz w:val="20"/>
              </w:rPr>
              <w:t>Pending</w:t>
            </w:r>
          </w:p>
        </w:tc>
      </w:tr>
      <w:tr w:rsidR="00333A07" w:rsidTr="00F16D6A">
        <w:tc>
          <w:tcPr>
            <w:tcW w:w="1188" w:type="dxa"/>
          </w:tcPr>
          <w:p w:rsidR="00333A07" w:rsidRDefault="00333A07" w:rsidP="000A4971">
            <w:pPr>
              <w:pStyle w:val="PMOHeading2"/>
              <w:spacing w:before="60"/>
              <w:ind w:left="0"/>
              <w:rPr>
                <w:rFonts w:ascii="Arial" w:hAnsi="Arial" w:cs="Arial"/>
                <w:b w:val="0"/>
                <w:sz w:val="20"/>
              </w:rPr>
            </w:pPr>
            <w:r>
              <w:rPr>
                <w:rFonts w:ascii="Arial" w:hAnsi="Arial" w:cs="Arial"/>
                <w:b w:val="0"/>
                <w:sz w:val="20"/>
              </w:rPr>
              <w:t>TBD</w:t>
            </w:r>
          </w:p>
        </w:tc>
        <w:tc>
          <w:tcPr>
            <w:tcW w:w="5284" w:type="dxa"/>
          </w:tcPr>
          <w:p w:rsidR="00333A07" w:rsidRDefault="00333A07" w:rsidP="00377C9E">
            <w:pPr>
              <w:pStyle w:val="PMOHeading2"/>
              <w:spacing w:before="60"/>
              <w:ind w:left="0"/>
              <w:rPr>
                <w:rFonts w:ascii="Arial" w:hAnsi="Arial" w:cs="Arial"/>
                <w:b w:val="0"/>
                <w:sz w:val="20"/>
              </w:rPr>
            </w:pPr>
            <w:r>
              <w:rPr>
                <w:rFonts w:ascii="Arial" w:hAnsi="Arial" w:cs="Arial"/>
                <w:b w:val="0"/>
                <w:sz w:val="20"/>
              </w:rPr>
              <w:t>Public meeting</w:t>
            </w:r>
          </w:p>
        </w:tc>
        <w:tc>
          <w:tcPr>
            <w:tcW w:w="3248" w:type="dxa"/>
          </w:tcPr>
          <w:p w:rsidR="00333A07" w:rsidRDefault="00333A07" w:rsidP="000E4278">
            <w:pPr>
              <w:pStyle w:val="PMOHeading2"/>
              <w:spacing w:before="60"/>
              <w:ind w:left="0"/>
              <w:rPr>
                <w:rFonts w:ascii="Arial" w:hAnsi="Arial" w:cs="Arial"/>
                <w:b w:val="0"/>
                <w:sz w:val="20"/>
              </w:rPr>
            </w:pPr>
            <w:r>
              <w:rPr>
                <w:rFonts w:ascii="Arial" w:hAnsi="Arial" w:cs="Arial"/>
                <w:b w:val="0"/>
                <w:sz w:val="20"/>
              </w:rPr>
              <w:t>Pending</w:t>
            </w:r>
          </w:p>
        </w:tc>
      </w:tr>
      <w:tr w:rsidR="00533CB9" w:rsidTr="00F16D6A">
        <w:tc>
          <w:tcPr>
            <w:tcW w:w="1188" w:type="dxa"/>
          </w:tcPr>
          <w:p w:rsidR="00533CB9" w:rsidRDefault="00533CB9" w:rsidP="000A4971">
            <w:pPr>
              <w:pStyle w:val="PMOHeading2"/>
              <w:spacing w:before="60"/>
              <w:ind w:left="0"/>
              <w:rPr>
                <w:rFonts w:ascii="Arial" w:hAnsi="Arial" w:cs="Arial"/>
                <w:b w:val="0"/>
                <w:sz w:val="20"/>
              </w:rPr>
            </w:pPr>
            <w:r>
              <w:rPr>
                <w:rFonts w:ascii="Arial" w:hAnsi="Arial" w:cs="Arial"/>
                <w:b w:val="0"/>
                <w:sz w:val="20"/>
              </w:rPr>
              <w:t>TBD</w:t>
            </w:r>
          </w:p>
        </w:tc>
        <w:tc>
          <w:tcPr>
            <w:tcW w:w="5284" w:type="dxa"/>
          </w:tcPr>
          <w:p w:rsidR="00533CB9" w:rsidRDefault="00533CB9" w:rsidP="00377C9E">
            <w:pPr>
              <w:pStyle w:val="PMOHeading2"/>
              <w:spacing w:before="60"/>
              <w:ind w:left="0"/>
              <w:rPr>
                <w:rFonts w:ascii="Arial" w:hAnsi="Arial" w:cs="Arial"/>
                <w:b w:val="0"/>
                <w:sz w:val="20"/>
              </w:rPr>
            </w:pPr>
            <w:r>
              <w:rPr>
                <w:rFonts w:ascii="Arial" w:hAnsi="Arial" w:cs="Arial"/>
                <w:b w:val="0"/>
                <w:sz w:val="20"/>
              </w:rPr>
              <w:t>Present adoption</w:t>
            </w:r>
            <w:r w:rsidR="00333A07">
              <w:rPr>
                <w:rFonts w:ascii="Arial" w:hAnsi="Arial" w:cs="Arial"/>
                <w:b w:val="0"/>
                <w:sz w:val="20"/>
              </w:rPr>
              <w:t xml:space="preserve"> recommendation</w:t>
            </w:r>
            <w:r>
              <w:rPr>
                <w:rFonts w:ascii="Arial" w:hAnsi="Arial" w:cs="Arial"/>
                <w:b w:val="0"/>
                <w:sz w:val="20"/>
              </w:rPr>
              <w:t xml:space="preserve"> issue paper to the Board</w:t>
            </w:r>
            <w:r w:rsidR="00333A07">
              <w:rPr>
                <w:rFonts w:ascii="Arial" w:hAnsi="Arial" w:cs="Arial"/>
                <w:b w:val="0"/>
                <w:sz w:val="20"/>
              </w:rPr>
              <w:t xml:space="preserve"> for review</w:t>
            </w:r>
          </w:p>
        </w:tc>
        <w:tc>
          <w:tcPr>
            <w:tcW w:w="3248" w:type="dxa"/>
          </w:tcPr>
          <w:p w:rsidR="00533CB9" w:rsidRDefault="00533CB9" w:rsidP="000E4278">
            <w:pPr>
              <w:pStyle w:val="PMOHeading2"/>
              <w:spacing w:before="60"/>
              <w:ind w:left="0"/>
              <w:rPr>
                <w:rFonts w:ascii="Arial" w:hAnsi="Arial" w:cs="Arial"/>
                <w:b w:val="0"/>
                <w:sz w:val="20"/>
              </w:rPr>
            </w:pPr>
            <w:r>
              <w:rPr>
                <w:rFonts w:ascii="Arial" w:hAnsi="Arial" w:cs="Arial"/>
                <w:b w:val="0"/>
                <w:sz w:val="20"/>
              </w:rPr>
              <w:t>Pending</w:t>
            </w:r>
          </w:p>
        </w:tc>
      </w:tr>
      <w:tr w:rsidR="00533CB9" w:rsidTr="00F16D6A">
        <w:tc>
          <w:tcPr>
            <w:tcW w:w="1188" w:type="dxa"/>
          </w:tcPr>
          <w:p w:rsidR="00533CB9" w:rsidRDefault="00533CB9" w:rsidP="000A4971">
            <w:pPr>
              <w:pStyle w:val="PMOHeading2"/>
              <w:spacing w:before="60"/>
              <w:ind w:left="0"/>
              <w:rPr>
                <w:rFonts w:ascii="Arial" w:hAnsi="Arial" w:cs="Arial"/>
                <w:b w:val="0"/>
                <w:sz w:val="20"/>
              </w:rPr>
            </w:pPr>
            <w:r>
              <w:rPr>
                <w:rFonts w:ascii="Arial" w:hAnsi="Arial" w:cs="Arial"/>
                <w:b w:val="0"/>
                <w:sz w:val="20"/>
              </w:rPr>
              <w:t>TBD</w:t>
            </w:r>
          </w:p>
        </w:tc>
        <w:tc>
          <w:tcPr>
            <w:tcW w:w="5284" w:type="dxa"/>
          </w:tcPr>
          <w:p w:rsidR="00533CB9" w:rsidRDefault="00533CB9" w:rsidP="000A4971">
            <w:pPr>
              <w:pStyle w:val="PMOHeading2"/>
              <w:spacing w:before="60"/>
              <w:ind w:left="0"/>
              <w:rPr>
                <w:rFonts w:ascii="Arial" w:hAnsi="Arial" w:cs="Arial"/>
                <w:b w:val="0"/>
                <w:sz w:val="20"/>
              </w:rPr>
            </w:pPr>
            <w:r>
              <w:rPr>
                <w:rFonts w:ascii="Arial" w:hAnsi="Arial" w:cs="Arial"/>
                <w:b w:val="0"/>
                <w:sz w:val="20"/>
              </w:rPr>
              <w:t xml:space="preserve">Present adoption </w:t>
            </w:r>
            <w:r w:rsidR="00333A07">
              <w:rPr>
                <w:rFonts w:ascii="Arial" w:hAnsi="Arial" w:cs="Arial"/>
                <w:b w:val="0"/>
                <w:sz w:val="20"/>
              </w:rPr>
              <w:t xml:space="preserve">recommendation </w:t>
            </w:r>
            <w:r>
              <w:rPr>
                <w:rFonts w:ascii="Arial" w:hAnsi="Arial" w:cs="Arial"/>
                <w:b w:val="0"/>
                <w:sz w:val="20"/>
              </w:rPr>
              <w:t>resolution to the Board</w:t>
            </w:r>
            <w:r w:rsidR="00333A07">
              <w:rPr>
                <w:rFonts w:ascii="Arial" w:hAnsi="Arial" w:cs="Arial"/>
                <w:b w:val="0"/>
                <w:sz w:val="20"/>
              </w:rPr>
              <w:t xml:space="preserve"> for final action</w:t>
            </w:r>
          </w:p>
        </w:tc>
        <w:tc>
          <w:tcPr>
            <w:tcW w:w="3248" w:type="dxa"/>
          </w:tcPr>
          <w:p w:rsidR="00533CB9" w:rsidRDefault="00533CB9" w:rsidP="000E4278">
            <w:pPr>
              <w:pStyle w:val="PMOHeading2"/>
              <w:spacing w:before="60"/>
              <w:ind w:left="0"/>
              <w:rPr>
                <w:rFonts w:ascii="Arial" w:hAnsi="Arial" w:cs="Arial"/>
                <w:b w:val="0"/>
                <w:sz w:val="20"/>
              </w:rPr>
            </w:pPr>
            <w:r>
              <w:rPr>
                <w:rFonts w:ascii="Arial" w:hAnsi="Arial" w:cs="Arial"/>
                <w:b w:val="0"/>
                <w:sz w:val="20"/>
              </w:rPr>
              <w:t>Pending</w:t>
            </w:r>
          </w:p>
        </w:tc>
      </w:tr>
      <w:tr w:rsidR="00533CB9" w:rsidTr="00F16D6A">
        <w:tc>
          <w:tcPr>
            <w:tcW w:w="1188" w:type="dxa"/>
          </w:tcPr>
          <w:p w:rsidR="00533CB9" w:rsidRDefault="00533CB9" w:rsidP="003F0DC8">
            <w:pPr>
              <w:pStyle w:val="PMOHeading2"/>
              <w:spacing w:before="60"/>
              <w:ind w:left="0"/>
              <w:rPr>
                <w:rFonts w:ascii="Arial" w:hAnsi="Arial" w:cs="Arial"/>
                <w:b w:val="0"/>
                <w:sz w:val="20"/>
              </w:rPr>
            </w:pPr>
            <w:r>
              <w:rPr>
                <w:rFonts w:ascii="Arial" w:hAnsi="Arial" w:cs="Arial"/>
                <w:b w:val="0"/>
                <w:sz w:val="20"/>
              </w:rPr>
              <w:t>TBD</w:t>
            </w:r>
          </w:p>
        </w:tc>
        <w:tc>
          <w:tcPr>
            <w:tcW w:w="5284" w:type="dxa"/>
          </w:tcPr>
          <w:p w:rsidR="00533CB9" w:rsidRDefault="00533CB9" w:rsidP="003F0DC8">
            <w:pPr>
              <w:pStyle w:val="PMOHeading2"/>
              <w:spacing w:before="60"/>
              <w:ind w:left="0"/>
              <w:rPr>
                <w:rFonts w:ascii="Arial" w:hAnsi="Arial" w:cs="Arial"/>
                <w:b w:val="0"/>
                <w:sz w:val="20"/>
              </w:rPr>
            </w:pPr>
            <w:r>
              <w:rPr>
                <w:rFonts w:ascii="Arial" w:hAnsi="Arial" w:cs="Arial"/>
                <w:b w:val="0"/>
                <w:sz w:val="20"/>
              </w:rPr>
              <w:t xml:space="preserve">Distribute notice of Board’s action </w:t>
            </w:r>
          </w:p>
        </w:tc>
        <w:tc>
          <w:tcPr>
            <w:tcW w:w="3248" w:type="dxa"/>
          </w:tcPr>
          <w:p w:rsidR="00533CB9" w:rsidRDefault="00533CB9" w:rsidP="000E4278">
            <w:pPr>
              <w:pStyle w:val="PMOHeading2"/>
              <w:spacing w:before="60"/>
              <w:ind w:left="0"/>
              <w:rPr>
                <w:rFonts w:ascii="Arial" w:hAnsi="Arial" w:cs="Arial"/>
                <w:b w:val="0"/>
                <w:sz w:val="20"/>
              </w:rPr>
            </w:pPr>
            <w:r>
              <w:rPr>
                <w:rFonts w:ascii="Arial" w:hAnsi="Arial" w:cs="Arial"/>
                <w:b w:val="0"/>
                <w:sz w:val="20"/>
              </w:rPr>
              <w:t>Pending</w:t>
            </w:r>
          </w:p>
        </w:tc>
      </w:tr>
      <w:tr w:rsidR="00533CB9" w:rsidTr="00F16D6A">
        <w:tc>
          <w:tcPr>
            <w:tcW w:w="1188" w:type="dxa"/>
          </w:tcPr>
          <w:p w:rsidR="00533CB9" w:rsidRDefault="00533CB9" w:rsidP="004F1616">
            <w:pPr>
              <w:pStyle w:val="PMOHeading2"/>
              <w:spacing w:before="60"/>
              <w:ind w:left="0"/>
              <w:rPr>
                <w:rFonts w:ascii="Arial" w:hAnsi="Arial" w:cs="Arial"/>
                <w:b w:val="0"/>
                <w:sz w:val="20"/>
              </w:rPr>
            </w:pPr>
            <w:r>
              <w:rPr>
                <w:rFonts w:ascii="Arial" w:hAnsi="Arial" w:cs="Arial"/>
                <w:b w:val="0"/>
                <w:sz w:val="20"/>
              </w:rPr>
              <w:t>TBD</w:t>
            </w:r>
          </w:p>
        </w:tc>
        <w:tc>
          <w:tcPr>
            <w:tcW w:w="5284" w:type="dxa"/>
          </w:tcPr>
          <w:p w:rsidR="00533CB9" w:rsidRDefault="00533CB9" w:rsidP="004F1616">
            <w:pPr>
              <w:pStyle w:val="PMOHeading2"/>
              <w:spacing w:before="60"/>
              <w:ind w:left="0"/>
              <w:rPr>
                <w:rFonts w:ascii="Arial" w:hAnsi="Arial" w:cs="Arial"/>
                <w:b w:val="0"/>
                <w:sz w:val="20"/>
              </w:rPr>
            </w:pPr>
            <w:r>
              <w:rPr>
                <w:rFonts w:ascii="Arial" w:hAnsi="Arial" w:cs="Arial"/>
                <w:b w:val="0"/>
                <w:sz w:val="20"/>
              </w:rPr>
              <w:t>Effective date of new banned products, if approved</w:t>
            </w:r>
          </w:p>
        </w:tc>
        <w:tc>
          <w:tcPr>
            <w:tcW w:w="3248" w:type="dxa"/>
          </w:tcPr>
          <w:p w:rsidR="00533CB9" w:rsidRDefault="00533CB9" w:rsidP="000E4278">
            <w:pPr>
              <w:pStyle w:val="PMOHeading2"/>
              <w:spacing w:before="60"/>
              <w:ind w:left="0"/>
              <w:rPr>
                <w:rFonts w:ascii="Arial" w:hAnsi="Arial" w:cs="Arial"/>
                <w:b w:val="0"/>
                <w:sz w:val="20"/>
              </w:rPr>
            </w:pPr>
            <w:r>
              <w:rPr>
                <w:rFonts w:ascii="Arial" w:hAnsi="Arial" w:cs="Arial"/>
                <w:b w:val="0"/>
                <w:sz w:val="20"/>
              </w:rPr>
              <w:t>Pending</w:t>
            </w:r>
          </w:p>
        </w:tc>
      </w:tr>
    </w:tbl>
    <w:p w:rsidR="002E503D" w:rsidRPr="000A4971" w:rsidRDefault="002E503D" w:rsidP="000A4971">
      <w:pPr>
        <w:pStyle w:val="PMOHeading2"/>
        <w:spacing w:before="60"/>
        <w:rPr>
          <w:rFonts w:ascii="Arial" w:hAnsi="Arial" w:cs="Arial"/>
          <w:b w:val="0"/>
          <w:sz w:val="20"/>
        </w:rPr>
      </w:pPr>
    </w:p>
    <w:p w:rsidR="00432BE5" w:rsidRPr="000A4971" w:rsidRDefault="00432BE5" w:rsidP="000A4971">
      <w:pPr>
        <w:pStyle w:val="PMOHeading2"/>
        <w:spacing w:before="60"/>
        <w:rPr>
          <w:rFonts w:ascii="Arial" w:hAnsi="Arial" w:cs="Arial"/>
          <w:sz w:val="20"/>
        </w:rPr>
      </w:pPr>
      <w:r w:rsidRPr="000A4971">
        <w:rPr>
          <w:rFonts w:ascii="Arial" w:hAnsi="Arial" w:cs="Arial"/>
          <w:sz w:val="20"/>
        </w:rPr>
        <w:t>Funding Source</w:t>
      </w:r>
    </w:p>
    <w:tbl>
      <w:tblPr>
        <w:tblW w:w="0" w:type="auto"/>
        <w:tblInd w:w="720" w:type="dxa"/>
        <w:tblLook w:val="04A0"/>
      </w:tblPr>
      <w:tblGrid>
        <w:gridCol w:w="9576"/>
      </w:tblGrid>
      <w:tr w:rsidR="002E503D" w:rsidRPr="00A97C42" w:rsidTr="0004571A">
        <w:tc>
          <w:tcPr>
            <w:tcW w:w="9576" w:type="dxa"/>
          </w:tcPr>
          <w:p w:rsidR="00BB3629" w:rsidRPr="00C04D7D" w:rsidRDefault="00BB3629" w:rsidP="0004571A">
            <w:pPr>
              <w:pStyle w:val="PMOHeading2"/>
              <w:spacing w:before="60"/>
              <w:ind w:left="0"/>
              <w:rPr>
                <w:rFonts w:ascii="Arial" w:hAnsi="Arial" w:cs="Arial"/>
                <w:b w:val="0"/>
                <w:sz w:val="16"/>
                <w:szCs w:val="16"/>
              </w:rPr>
            </w:pPr>
          </w:p>
          <w:p w:rsidR="002E503D" w:rsidRPr="00A97C42" w:rsidRDefault="00B4105E" w:rsidP="0004571A">
            <w:pPr>
              <w:pStyle w:val="PMOHeading2"/>
              <w:spacing w:before="60"/>
              <w:ind w:left="0"/>
              <w:rPr>
                <w:rFonts w:ascii="Arial" w:hAnsi="Arial" w:cs="Arial"/>
                <w:b w:val="0"/>
                <w:sz w:val="20"/>
              </w:rPr>
            </w:pPr>
            <w:r>
              <w:rPr>
                <w:rFonts w:ascii="Arial" w:hAnsi="Arial" w:cs="Arial"/>
                <w:b w:val="0"/>
                <w:sz w:val="20"/>
              </w:rPr>
              <w:t xml:space="preserve">Administrative funding </w:t>
            </w:r>
            <w:r w:rsidR="003F0DC8">
              <w:rPr>
                <w:rFonts w:ascii="Arial" w:hAnsi="Arial" w:cs="Arial"/>
                <w:b w:val="0"/>
                <w:sz w:val="20"/>
              </w:rPr>
              <w:t xml:space="preserve">expense </w:t>
            </w:r>
            <w:r>
              <w:rPr>
                <w:rFonts w:ascii="Arial" w:hAnsi="Arial" w:cs="Arial"/>
                <w:b w:val="0"/>
                <w:sz w:val="20"/>
              </w:rPr>
              <w:t>will be absorbed into current appropriation</w:t>
            </w:r>
          </w:p>
        </w:tc>
      </w:tr>
    </w:tbl>
    <w:p w:rsidR="002E503D" w:rsidRPr="00C04D7D" w:rsidRDefault="002E503D" w:rsidP="000A4971">
      <w:pPr>
        <w:pStyle w:val="PMOHeading2"/>
        <w:spacing w:before="60"/>
        <w:rPr>
          <w:rFonts w:ascii="Arial" w:hAnsi="Arial" w:cs="Arial"/>
          <w:b w:val="0"/>
          <w:sz w:val="16"/>
          <w:szCs w:val="16"/>
        </w:rPr>
      </w:pPr>
    </w:p>
    <w:p w:rsidR="00D14164" w:rsidRDefault="00D14164">
      <w:pPr>
        <w:rPr>
          <w:rFonts w:cs="Arial"/>
          <w:b/>
          <w:szCs w:val="20"/>
        </w:rPr>
      </w:pPr>
    </w:p>
    <w:p w:rsidR="00735F80" w:rsidRPr="000A4971" w:rsidRDefault="00894468" w:rsidP="000A4971">
      <w:pPr>
        <w:pStyle w:val="PMOHeading2"/>
        <w:spacing w:before="60"/>
        <w:rPr>
          <w:rFonts w:ascii="Arial" w:hAnsi="Arial" w:cs="Arial"/>
          <w:sz w:val="20"/>
        </w:rPr>
      </w:pPr>
      <w:r w:rsidRPr="000A4971">
        <w:rPr>
          <w:rFonts w:ascii="Arial" w:hAnsi="Arial" w:cs="Arial"/>
          <w:sz w:val="20"/>
        </w:rPr>
        <w:t>Stakeholder Impacts</w:t>
      </w:r>
    </w:p>
    <w:p w:rsidR="00C34716" w:rsidRPr="00C04D7D" w:rsidRDefault="00C34716" w:rsidP="000A4971">
      <w:pPr>
        <w:pStyle w:val="PMOBody"/>
        <w:spacing w:before="60"/>
        <w:rPr>
          <w:rFonts w:ascii="Arial" w:hAnsi="Arial" w:cs="Arial"/>
          <w:sz w:val="16"/>
          <w:szCs w:val="16"/>
        </w:rPr>
      </w:pPr>
    </w:p>
    <w:p w:rsidR="00243217" w:rsidRPr="000A4971"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internal</w:t>
      </w:r>
      <w:r w:rsidRPr="000A4971">
        <w:rPr>
          <w:rFonts w:ascii="Arial" w:hAnsi="Arial" w:cs="Arial"/>
          <w:sz w:val="20"/>
          <w:szCs w:val="20"/>
        </w:rPr>
        <w:t xml:space="preserve"> stakeholders </w:t>
      </w:r>
      <w:r w:rsidR="00CB358A" w:rsidRPr="000A4971">
        <w:rPr>
          <w:rFonts w:ascii="Arial" w:hAnsi="Arial" w:cs="Arial"/>
          <w:sz w:val="20"/>
          <w:szCs w:val="20"/>
        </w:rPr>
        <w:t xml:space="preserve">and </w:t>
      </w:r>
      <w:r w:rsidR="006E377F" w:rsidRPr="000A4971">
        <w:rPr>
          <w:rFonts w:ascii="Arial" w:hAnsi="Arial" w:cs="Arial"/>
          <w:sz w:val="20"/>
          <w:szCs w:val="20"/>
        </w:rPr>
        <w:t>get their feedback about how</w:t>
      </w:r>
      <w:r w:rsidR="00CB358A" w:rsidRPr="000A4971">
        <w:rPr>
          <w:rFonts w:ascii="Arial" w:hAnsi="Arial" w:cs="Arial"/>
          <w:sz w:val="20"/>
          <w:szCs w:val="20"/>
        </w:rPr>
        <w:t xml:space="preserve"> they </w:t>
      </w:r>
      <w:r w:rsidR="006E377F" w:rsidRPr="000A4971">
        <w:rPr>
          <w:rFonts w:ascii="Arial" w:hAnsi="Arial" w:cs="Arial"/>
          <w:sz w:val="20"/>
          <w:szCs w:val="20"/>
        </w:rPr>
        <w:t>might</w:t>
      </w:r>
      <w:r w:rsidRPr="000A4971">
        <w:rPr>
          <w:rFonts w:ascii="Arial" w:hAnsi="Arial" w:cs="Arial"/>
          <w:sz w:val="20"/>
          <w:szCs w:val="20"/>
        </w:rPr>
        <w:t xml:space="preserve"> be affected.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5A7497" w:rsidRPr="000A4971" w:rsidTr="00D5711F">
        <w:trPr>
          <w:cantSplit/>
          <w:tblHeader/>
        </w:trPr>
        <w:tc>
          <w:tcPr>
            <w:tcW w:w="3192"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Impact</w:t>
            </w:r>
            <w:r w:rsidR="0049385D" w:rsidRPr="000A4971">
              <w:rPr>
                <w:rFonts w:ascii="Arial" w:hAnsi="Arial" w:cs="Arial"/>
                <w:b/>
                <w:sz w:val="20"/>
                <w:szCs w:val="20"/>
              </w:rPr>
              <w:t>s</w:t>
            </w:r>
            <w:r w:rsidR="006966F5" w:rsidRPr="000A4971">
              <w:rPr>
                <w:rFonts w:ascii="Arial" w:hAnsi="Arial" w:cs="Arial"/>
                <w:b/>
                <w:sz w:val="20"/>
                <w:szCs w:val="20"/>
              </w:rPr>
              <w:t xml:space="preserve"> (Political, Resource</w:t>
            </w:r>
            <w:r w:rsidR="00247681" w:rsidRPr="000A4971">
              <w:rPr>
                <w:rFonts w:ascii="Arial" w:hAnsi="Arial" w:cs="Arial"/>
                <w:b/>
                <w:sz w:val="20"/>
                <w:szCs w:val="20"/>
              </w:rPr>
              <w:t>, Other</w:t>
            </w:r>
            <w:r w:rsidR="006966F5" w:rsidRPr="000A4971">
              <w:rPr>
                <w:rFonts w:ascii="Arial" w:hAnsi="Arial" w:cs="Arial"/>
                <w:b/>
                <w:sz w:val="20"/>
                <w:szCs w:val="20"/>
              </w:rPr>
              <w:t>)</w:t>
            </w: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Director’s Office</w:t>
            </w:r>
          </w:p>
        </w:tc>
        <w:tc>
          <w:tcPr>
            <w:tcW w:w="5448" w:type="dxa"/>
            <w:shd w:val="clear" w:color="auto" w:fill="F3F3F3"/>
          </w:tcPr>
          <w:p w:rsidR="00B4105E" w:rsidRPr="000A4971" w:rsidRDefault="00B4105E" w:rsidP="000A4971">
            <w:pPr>
              <w:pStyle w:val="PMOBody"/>
              <w:spacing w:before="60"/>
              <w:ind w:left="0"/>
              <w:rPr>
                <w:rFonts w:ascii="Arial" w:hAnsi="Arial" w:cs="Arial"/>
                <w:sz w:val="20"/>
                <w:szCs w:val="20"/>
              </w:rPr>
            </w:pPr>
            <w:r>
              <w:rPr>
                <w:rFonts w:ascii="Arial" w:hAnsi="Arial" w:cs="Arial"/>
                <w:sz w:val="20"/>
                <w:szCs w:val="20"/>
              </w:rPr>
              <w:t>Political</w:t>
            </w: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Licensing</w:t>
            </w:r>
          </w:p>
        </w:tc>
        <w:tc>
          <w:tcPr>
            <w:tcW w:w="5448" w:type="dxa"/>
            <w:shd w:val="clear" w:color="auto" w:fill="F3F3F3"/>
          </w:tcPr>
          <w:p w:rsidR="002E503D" w:rsidRPr="000A4971" w:rsidRDefault="00B4105E" w:rsidP="00F41850">
            <w:pPr>
              <w:spacing w:before="60"/>
              <w:rPr>
                <w:rFonts w:cs="Arial"/>
                <w:szCs w:val="20"/>
              </w:rPr>
            </w:pPr>
            <w:r>
              <w:rPr>
                <w:rFonts w:cs="Arial"/>
                <w:szCs w:val="20"/>
              </w:rPr>
              <w:t>Resource</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Enforcement</w:t>
            </w:r>
          </w:p>
        </w:tc>
        <w:tc>
          <w:tcPr>
            <w:tcW w:w="5448" w:type="dxa"/>
            <w:tcBorders>
              <w:bottom w:val="single" w:sz="4" w:space="0" w:color="auto"/>
            </w:tcBorders>
            <w:shd w:val="clear" w:color="auto" w:fill="F3F3F3"/>
          </w:tcPr>
          <w:p w:rsidR="002E503D" w:rsidRPr="000A4971" w:rsidRDefault="00B4105E" w:rsidP="00F41850">
            <w:pPr>
              <w:spacing w:before="60"/>
              <w:rPr>
                <w:rFonts w:cs="Arial"/>
                <w:szCs w:val="20"/>
              </w:rPr>
            </w:pPr>
            <w:r>
              <w:rPr>
                <w:rFonts w:cs="Arial"/>
                <w:szCs w:val="20"/>
              </w:rPr>
              <w:t>Resource</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Human Resources</w:t>
            </w:r>
          </w:p>
        </w:tc>
        <w:tc>
          <w:tcPr>
            <w:tcW w:w="5448" w:type="dxa"/>
            <w:tcBorders>
              <w:bottom w:val="single" w:sz="4" w:space="0" w:color="auto"/>
            </w:tcBorders>
            <w:shd w:val="clear" w:color="auto" w:fill="F3F3F3"/>
          </w:tcPr>
          <w:p w:rsidR="002E503D" w:rsidRPr="000A4971" w:rsidRDefault="002E503D" w:rsidP="000A4971">
            <w:pPr>
              <w:spacing w:before="60"/>
              <w:rPr>
                <w:rFonts w:cs="Arial"/>
                <w:szCs w:val="20"/>
              </w:rPr>
            </w:pP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Business Enterprise</w:t>
            </w:r>
          </w:p>
        </w:tc>
        <w:tc>
          <w:tcPr>
            <w:tcW w:w="5448" w:type="dxa"/>
            <w:shd w:val="clear" w:color="auto" w:fill="F3F3F3"/>
          </w:tcPr>
          <w:p w:rsidR="002E503D" w:rsidRPr="000A4971" w:rsidRDefault="002E503D" w:rsidP="000A4971">
            <w:pPr>
              <w:spacing w:before="60"/>
              <w:rPr>
                <w:rFonts w:cs="Arial"/>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Retail</w:t>
            </w:r>
          </w:p>
        </w:tc>
        <w:tc>
          <w:tcPr>
            <w:tcW w:w="5448" w:type="dxa"/>
          </w:tcPr>
          <w:p w:rsidR="005A7497" w:rsidRPr="000A4971" w:rsidRDefault="00B4105E" w:rsidP="000A4971">
            <w:pPr>
              <w:pStyle w:val="PMOBody"/>
              <w:spacing w:before="60"/>
              <w:ind w:left="0"/>
              <w:rPr>
                <w:rFonts w:ascii="Arial" w:hAnsi="Arial" w:cs="Arial"/>
                <w:sz w:val="20"/>
                <w:szCs w:val="20"/>
              </w:rPr>
            </w:pPr>
            <w:r>
              <w:rPr>
                <w:rFonts w:ascii="Arial" w:hAnsi="Arial" w:cs="Arial"/>
                <w:sz w:val="20"/>
                <w:szCs w:val="20"/>
              </w:rPr>
              <w:t>Resource; confirm banned products are removed from retail liquor store(s)</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Purchasing</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Distribution Center</w:t>
            </w:r>
          </w:p>
        </w:tc>
        <w:tc>
          <w:tcPr>
            <w:tcW w:w="5448" w:type="dxa"/>
            <w:tcBorders>
              <w:bottom w:val="single" w:sz="4" w:space="0" w:color="auto"/>
            </w:tcBorders>
          </w:tcPr>
          <w:p w:rsidR="002E503D" w:rsidRPr="000A4971" w:rsidRDefault="002E503D" w:rsidP="000A4971">
            <w:pPr>
              <w:spacing w:before="60"/>
              <w:rPr>
                <w:rFonts w:cs="Arial"/>
                <w:szCs w:val="20"/>
              </w:rPr>
            </w:pP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Administrative Services</w:t>
            </w:r>
          </w:p>
        </w:tc>
        <w:tc>
          <w:tcPr>
            <w:tcW w:w="5448" w:type="dxa"/>
            <w:shd w:val="clear" w:color="auto" w:fill="F3F3F3"/>
          </w:tcPr>
          <w:p w:rsidR="005A7497" w:rsidRPr="000A4971" w:rsidRDefault="005A7497" w:rsidP="000A4971">
            <w:pPr>
              <w:pStyle w:val="PMOBody"/>
              <w:spacing w:before="60"/>
              <w:ind w:left="0"/>
              <w:rPr>
                <w:rFonts w:ascii="Arial" w:hAnsi="Arial" w:cs="Arial"/>
                <w:sz w:val="20"/>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Information Technology</w:t>
            </w:r>
          </w:p>
        </w:tc>
        <w:tc>
          <w:tcPr>
            <w:tcW w:w="5448" w:type="dxa"/>
          </w:tcPr>
          <w:p w:rsidR="005A7497" w:rsidRPr="000A4971" w:rsidRDefault="005A7497" w:rsidP="000A4971">
            <w:pPr>
              <w:pStyle w:val="PMOBody"/>
              <w:spacing w:before="60"/>
              <w:ind w:left="0"/>
              <w:rPr>
                <w:rFonts w:ascii="Arial" w:hAnsi="Arial" w:cs="Arial"/>
                <w:sz w:val="20"/>
                <w:szCs w:val="20"/>
              </w:rPr>
            </w:pP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Contracts Office</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Finance</w:t>
            </w:r>
          </w:p>
        </w:tc>
        <w:tc>
          <w:tcPr>
            <w:tcW w:w="5448" w:type="dxa"/>
            <w:tcBorders>
              <w:bottom w:val="single" w:sz="4" w:space="0" w:color="auto"/>
            </w:tcBorders>
          </w:tcPr>
          <w:p w:rsidR="002E503D" w:rsidRPr="000A4971" w:rsidRDefault="002E503D" w:rsidP="000A4971">
            <w:pPr>
              <w:spacing w:before="60"/>
              <w:rPr>
                <w:rFonts w:cs="Arial"/>
                <w:szCs w:val="20"/>
              </w:rPr>
            </w:pPr>
          </w:p>
        </w:tc>
      </w:tr>
    </w:tbl>
    <w:p w:rsidR="00B4105E" w:rsidRDefault="00B4105E" w:rsidP="000A4971">
      <w:pPr>
        <w:pStyle w:val="PMOBody"/>
        <w:spacing w:before="60"/>
        <w:rPr>
          <w:rFonts w:ascii="Arial" w:hAnsi="Arial" w:cs="Arial"/>
          <w:sz w:val="20"/>
          <w:szCs w:val="20"/>
        </w:rPr>
      </w:pPr>
    </w:p>
    <w:p w:rsidR="00243217" w:rsidRPr="000A4971"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external</w:t>
      </w:r>
      <w:r w:rsidRPr="000A4971">
        <w:rPr>
          <w:rFonts w:ascii="Arial" w:hAnsi="Arial" w:cs="Arial"/>
          <w:sz w:val="20"/>
          <w:szCs w:val="20"/>
        </w:rPr>
        <w:t xml:space="preserve"> stakeholders </w:t>
      </w:r>
      <w:r w:rsidR="00247681" w:rsidRPr="000A4971">
        <w:rPr>
          <w:rFonts w:ascii="Arial" w:hAnsi="Arial" w:cs="Arial"/>
          <w:sz w:val="20"/>
          <w:szCs w:val="20"/>
        </w:rPr>
        <w:t>get their feedback about how they might be affected.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243217" w:rsidRPr="000A4971" w:rsidTr="00D5711F">
        <w:tc>
          <w:tcPr>
            <w:tcW w:w="3192" w:type="dxa"/>
            <w:shd w:val="clear" w:color="auto" w:fill="E6E6E6"/>
          </w:tcPr>
          <w:p w:rsidR="00243217" w:rsidRPr="000A4971" w:rsidRDefault="0024321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shd w:val="clear" w:color="auto" w:fill="E6E6E6"/>
          </w:tcPr>
          <w:p w:rsidR="00243217" w:rsidRPr="000A4971" w:rsidRDefault="0049385D" w:rsidP="000A4971">
            <w:pPr>
              <w:pStyle w:val="PMOBody"/>
              <w:spacing w:before="60"/>
              <w:ind w:left="0"/>
              <w:rPr>
                <w:rFonts w:ascii="Arial" w:hAnsi="Arial" w:cs="Arial"/>
                <w:b/>
                <w:sz w:val="20"/>
                <w:szCs w:val="20"/>
              </w:rPr>
            </w:pPr>
            <w:r w:rsidRPr="000A4971">
              <w:rPr>
                <w:rFonts w:ascii="Arial" w:hAnsi="Arial" w:cs="Arial"/>
                <w:b/>
                <w:sz w:val="20"/>
                <w:szCs w:val="20"/>
              </w:rPr>
              <w:t>Fiscal and Resource Impacts</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Washington State Agencies</w:t>
            </w:r>
          </w:p>
        </w:tc>
        <w:tc>
          <w:tcPr>
            <w:tcW w:w="5448" w:type="dxa"/>
          </w:tcPr>
          <w:p w:rsidR="002E503D" w:rsidRPr="000A4971" w:rsidRDefault="00B4105E" w:rsidP="000A4971">
            <w:pPr>
              <w:spacing w:before="60"/>
              <w:rPr>
                <w:rFonts w:cs="Arial"/>
                <w:szCs w:val="20"/>
              </w:rPr>
            </w:pPr>
            <w:r>
              <w:rPr>
                <w:rFonts w:cs="Arial"/>
                <w:szCs w:val="20"/>
              </w:rPr>
              <w:t>N/A</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Prevention</w:t>
            </w:r>
          </w:p>
        </w:tc>
        <w:tc>
          <w:tcPr>
            <w:tcW w:w="5448" w:type="dxa"/>
          </w:tcPr>
          <w:p w:rsidR="002E503D" w:rsidRPr="000A4971" w:rsidRDefault="00B4105E" w:rsidP="000A4971">
            <w:pPr>
              <w:spacing w:before="60"/>
              <w:rPr>
                <w:rFonts w:cs="Arial"/>
                <w:szCs w:val="20"/>
              </w:rPr>
            </w:pPr>
            <w:r>
              <w:rPr>
                <w:rFonts w:cs="Arial"/>
                <w:szCs w:val="20"/>
              </w:rPr>
              <w:t>Resource</w:t>
            </w:r>
          </w:p>
        </w:tc>
      </w:tr>
      <w:tr w:rsidR="002E503D" w:rsidRPr="000A4971" w:rsidTr="00D5711F">
        <w:tc>
          <w:tcPr>
            <w:tcW w:w="3192" w:type="dxa"/>
          </w:tcPr>
          <w:p w:rsidR="002E503D" w:rsidRPr="000A4971" w:rsidRDefault="002E503D" w:rsidP="00D14164">
            <w:pPr>
              <w:pStyle w:val="PMOBody"/>
              <w:tabs>
                <w:tab w:val="center" w:pos="1488"/>
              </w:tabs>
              <w:spacing w:before="60"/>
              <w:ind w:left="0"/>
              <w:rPr>
                <w:rFonts w:ascii="Arial" w:hAnsi="Arial" w:cs="Arial"/>
                <w:sz w:val="20"/>
                <w:szCs w:val="20"/>
              </w:rPr>
            </w:pPr>
            <w:r w:rsidRPr="000A4971">
              <w:rPr>
                <w:rFonts w:ascii="Arial" w:hAnsi="Arial" w:cs="Arial"/>
                <w:sz w:val="20"/>
                <w:szCs w:val="20"/>
              </w:rPr>
              <w:t>Industry</w:t>
            </w:r>
            <w:r w:rsidR="00D14164">
              <w:rPr>
                <w:rFonts w:ascii="Arial" w:hAnsi="Arial" w:cs="Arial"/>
                <w:sz w:val="20"/>
                <w:szCs w:val="20"/>
              </w:rPr>
              <w:tab/>
            </w:r>
          </w:p>
        </w:tc>
        <w:tc>
          <w:tcPr>
            <w:tcW w:w="5448" w:type="dxa"/>
          </w:tcPr>
          <w:p w:rsidR="002E503D" w:rsidRPr="000A4971" w:rsidRDefault="00B4105E" w:rsidP="000A4971">
            <w:pPr>
              <w:spacing w:before="60"/>
              <w:rPr>
                <w:rFonts w:cs="Arial"/>
                <w:szCs w:val="20"/>
              </w:rPr>
            </w:pPr>
            <w:r>
              <w:rPr>
                <w:rFonts w:cs="Arial"/>
                <w:szCs w:val="20"/>
              </w:rPr>
              <w:t>Resource</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Vendors</w:t>
            </w:r>
          </w:p>
        </w:tc>
        <w:tc>
          <w:tcPr>
            <w:tcW w:w="5448" w:type="dxa"/>
          </w:tcPr>
          <w:p w:rsidR="002E503D" w:rsidRPr="000A4971" w:rsidRDefault="00B4105E" w:rsidP="000A4971">
            <w:pPr>
              <w:spacing w:before="60"/>
              <w:rPr>
                <w:rFonts w:cs="Arial"/>
                <w:szCs w:val="20"/>
              </w:rPr>
            </w:pPr>
            <w:r>
              <w:rPr>
                <w:rFonts w:cs="Arial"/>
                <w:szCs w:val="20"/>
              </w:rPr>
              <w:t>Resource</w:t>
            </w:r>
          </w:p>
        </w:tc>
      </w:tr>
    </w:tbl>
    <w:p w:rsidR="0047434E" w:rsidRPr="000A4971" w:rsidRDefault="0047434E" w:rsidP="000A4971">
      <w:pPr>
        <w:pStyle w:val="PMOBody"/>
        <w:spacing w:before="60"/>
        <w:rPr>
          <w:rFonts w:ascii="Arial" w:hAnsi="Arial" w:cs="Arial"/>
          <w:sz w:val="20"/>
          <w:szCs w:val="20"/>
        </w:rPr>
      </w:pPr>
    </w:p>
    <w:p w:rsidR="00377C9E" w:rsidRDefault="00377C9E">
      <w:pPr>
        <w:rPr>
          <w:rFonts w:cs="Arial"/>
          <w:b/>
          <w:szCs w:val="20"/>
        </w:rPr>
      </w:pPr>
      <w:bookmarkStart w:id="0" w:name="_Toc190920909"/>
    </w:p>
    <w:p w:rsidR="00D14164" w:rsidRDefault="00D14164" w:rsidP="000A4971">
      <w:pPr>
        <w:pStyle w:val="PMOHeading2"/>
        <w:spacing w:before="60"/>
        <w:rPr>
          <w:rFonts w:ascii="Arial" w:hAnsi="Arial" w:cs="Arial"/>
          <w:sz w:val="20"/>
        </w:rPr>
      </w:pPr>
    </w:p>
    <w:p w:rsidR="00D14164" w:rsidRDefault="00D14164" w:rsidP="000A4971">
      <w:pPr>
        <w:pStyle w:val="PMOHeading2"/>
        <w:spacing w:before="60"/>
        <w:rPr>
          <w:rFonts w:ascii="Arial" w:hAnsi="Arial" w:cs="Arial"/>
          <w:sz w:val="20"/>
        </w:rPr>
      </w:pPr>
    </w:p>
    <w:p w:rsidR="00D14164" w:rsidRDefault="00D14164" w:rsidP="000A4971">
      <w:pPr>
        <w:pStyle w:val="PMOHeading2"/>
        <w:spacing w:before="60"/>
        <w:rPr>
          <w:rFonts w:ascii="Arial" w:hAnsi="Arial" w:cs="Arial"/>
          <w:sz w:val="20"/>
        </w:rPr>
      </w:pPr>
    </w:p>
    <w:p w:rsidR="00924038" w:rsidRPr="000A4971" w:rsidRDefault="00924038" w:rsidP="000A4971">
      <w:pPr>
        <w:pStyle w:val="PMOHeading2"/>
        <w:spacing w:before="60"/>
        <w:rPr>
          <w:rFonts w:ascii="Arial" w:hAnsi="Arial" w:cs="Arial"/>
          <w:sz w:val="20"/>
        </w:rPr>
      </w:pPr>
      <w:r w:rsidRPr="000A4971">
        <w:rPr>
          <w:rFonts w:ascii="Arial" w:hAnsi="Arial" w:cs="Arial"/>
          <w:sz w:val="20"/>
        </w:rPr>
        <w:t>Acceptance</w:t>
      </w:r>
      <w:bookmarkEnd w:id="0"/>
    </w:p>
    <w:p w:rsidR="00924038" w:rsidRPr="000A4971" w:rsidRDefault="00924038" w:rsidP="000A4971">
      <w:pPr>
        <w:spacing w:before="60"/>
        <w:rPr>
          <w:rFonts w:cs="Arial"/>
          <w:szCs w:val="20"/>
        </w:rPr>
      </w:pPr>
    </w:p>
    <w:p w:rsidR="00924038" w:rsidRPr="000A4971" w:rsidRDefault="00924038" w:rsidP="000A4971">
      <w:pPr>
        <w:pStyle w:val="PMOBody"/>
        <w:spacing w:before="60"/>
        <w:rPr>
          <w:rFonts w:ascii="Arial" w:hAnsi="Arial" w:cs="Arial"/>
          <w:sz w:val="20"/>
          <w:szCs w:val="20"/>
        </w:rPr>
      </w:pPr>
      <w:r w:rsidRPr="000A4971">
        <w:rPr>
          <w:rFonts w:ascii="Arial" w:hAnsi="Arial" w:cs="Arial"/>
          <w:sz w:val="20"/>
          <w:szCs w:val="20"/>
        </w:rPr>
        <w:t xml:space="preserve">We have reviewed this document and approve resources for project </w:t>
      </w:r>
      <w:r w:rsidR="003F4A70" w:rsidRPr="000A4971">
        <w:rPr>
          <w:rFonts w:ascii="Arial" w:hAnsi="Arial" w:cs="Arial"/>
          <w:sz w:val="20"/>
          <w:szCs w:val="20"/>
        </w:rPr>
        <w:t>definition</w:t>
      </w:r>
      <w:r w:rsidRPr="000A4971">
        <w:rPr>
          <w:rFonts w:ascii="Arial" w:hAnsi="Arial" w:cs="Arial"/>
          <w:sz w:val="20"/>
          <w:szCs w:val="20"/>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3757"/>
        <w:gridCol w:w="1690"/>
      </w:tblGrid>
      <w:tr w:rsidR="00924038" w:rsidRPr="000A4971" w:rsidTr="00D14164">
        <w:tc>
          <w:tcPr>
            <w:tcW w:w="3060" w:type="dxa"/>
            <w:shd w:val="clear" w:color="auto" w:fill="E6E6E6"/>
          </w:tcPr>
          <w:p w:rsidR="00924038" w:rsidRPr="000A4971" w:rsidRDefault="00A1519F" w:rsidP="000A4971">
            <w:pPr>
              <w:tabs>
                <w:tab w:val="left" w:pos="5020"/>
              </w:tabs>
              <w:spacing w:before="60"/>
              <w:rPr>
                <w:rFonts w:cs="Arial"/>
                <w:b/>
                <w:szCs w:val="20"/>
              </w:rPr>
            </w:pPr>
            <w:r w:rsidRPr="000A4971">
              <w:rPr>
                <w:rFonts w:cs="Arial"/>
                <w:b/>
                <w:szCs w:val="20"/>
              </w:rPr>
              <w:t>Approved by</w:t>
            </w:r>
          </w:p>
        </w:tc>
        <w:tc>
          <w:tcPr>
            <w:tcW w:w="360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Signature</w:t>
            </w:r>
          </w:p>
        </w:tc>
        <w:tc>
          <w:tcPr>
            <w:tcW w:w="162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Date</w:t>
            </w:r>
          </w:p>
        </w:tc>
      </w:tr>
      <w:tr w:rsidR="00924038" w:rsidRPr="000A4971" w:rsidTr="00D14164">
        <w:trPr>
          <w:trHeight w:val="593"/>
        </w:trPr>
        <w:tc>
          <w:tcPr>
            <w:tcW w:w="3060" w:type="dxa"/>
          </w:tcPr>
          <w:p w:rsidR="00CD28B7" w:rsidRDefault="003A7031" w:rsidP="00CD28B7">
            <w:pPr>
              <w:pStyle w:val="PMOBody"/>
              <w:spacing w:before="60"/>
              <w:ind w:left="0"/>
              <w:rPr>
                <w:rFonts w:ascii="Arial" w:hAnsi="Arial" w:cs="Arial"/>
                <w:sz w:val="20"/>
                <w:szCs w:val="20"/>
              </w:rPr>
            </w:pPr>
            <w:bookmarkStart w:id="1" w:name="Text5"/>
            <w:r>
              <w:rPr>
                <w:rFonts w:ascii="Arial" w:hAnsi="Arial" w:cs="Arial"/>
                <w:sz w:val="20"/>
                <w:szCs w:val="20"/>
              </w:rPr>
              <w:t>Name</w:t>
            </w:r>
            <w:bookmarkEnd w:id="1"/>
            <w:r w:rsidR="00CD28B7">
              <w:rPr>
                <w:rFonts w:ascii="Arial" w:hAnsi="Arial" w:cs="Arial"/>
                <w:sz w:val="20"/>
                <w:szCs w:val="20"/>
              </w:rPr>
              <w:t xml:space="preserve">  Sharon Foster </w:t>
            </w:r>
            <w:bookmarkStart w:id="2" w:name="Text6"/>
          </w:p>
          <w:p w:rsidR="00924038" w:rsidRPr="000A4971" w:rsidRDefault="003A7031" w:rsidP="00CD28B7">
            <w:pPr>
              <w:pStyle w:val="PMOBody"/>
              <w:spacing w:before="60"/>
              <w:ind w:left="0"/>
              <w:rPr>
                <w:rFonts w:ascii="Arial" w:hAnsi="Arial" w:cs="Arial"/>
                <w:sz w:val="20"/>
                <w:szCs w:val="20"/>
              </w:rPr>
            </w:pPr>
            <w:r>
              <w:rPr>
                <w:rFonts w:ascii="Arial" w:hAnsi="Arial" w:cs="Arial"/>
                <w:sz w:val="20"/>
                <w:szCs w:val="20"/>
              </w:rPr>
              <w:t>Title</w:t>
            </w:r>
            <w:bookmarkEnd w:id="2"/>
            <w:r w:rsidR="00CD28B7">
              <w:rPr>
                <w:rFonts w:ascii="Arial" w:hAnsi="Arial" w:cs="Arial"/>
                <w:sz w:val="20"/>
                <w:szCs w:val="20"/>
              </w:rPr>
              <w:t xml:space="preserve">  Board Chair</w:t>
            </w:r>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924038" w:rsidRPr="000A4971" w:rsidTr="00D14164">
        <w:trPr>
          <w:trHeight w:val="530"/>
        </w:trPr>
        <w:tc>
          <w:tcPr>
            <w:tcW w:w="3060" w:type="dxa"/>
          </w:tcPr>
          <w:p w:rsidR="002E503D" w:rsidRPr="000A4971" w:rsidRDefault="003A7031" w:rsidP="000A4971">
            <w:pPr>
              <w:pStyle w:val="PMOBody"/>
              <w:spacing w:before="60"/>
              <w:ind w:left="0"/>
              <w:rPr>
                <w:rFonts w:ascii="Arial" w:hAnsi="Arial" w:cs="Arial"/>
                <w:sz w:val="20"/>
                <w:szCs w:val="20"/>
              </w:rPr>
            </w:pPr>
            <w:r>
              <w:rPr>
                <w:rFonts w:ascii="Arial" w:hAnsi="Arial" w:cs="Arial"/>
                <w:sz w:val="20"/>
                <w:szCs w:val="20"/>
              </w:rPr>
              <w:t>Name</w:t>
            </w:r>
            <w:r w:rsidR="00CD28B7">
              <w:rPr>
                <w:rFonts w:ascii="Arial" w:hAnsi="Arial" w:cs="Arial"/>
                <w:sz w:val="20"/>
                <w:szCs w:val="20"/>
              </w:rPr>
              <w:t xml:space="preserve">  Ruthann Kurose</w:t>
            </w:r>
          </w:p>
          <w:p w:rsidR="00924038" w:rsidRPr="000A4971" w:rsidRDefault="003A7031" w:rsidP="003A7031">
            <w:pPr>
              <w:pStyle w:val="PMOBody"/>
              <w:spacing w:before="60"/>
              <w:ind w:left="0"/>
              <w:rPr>
                <w:rFonts w:ascii="Arial" w:hAnsi="Arial" w:cs="Arial"/>
                <w:sz w:val="20"/>
                <w:szCs w:val="20"/>
              </w:rPr>
            </w:pPr>
            <w:r>
              <w:rPr>
                <w:rFonts w:ascii="Arial" w:hAnsi="Arial" w:cs="Arial"/>
                <w:sz w:val="20"/>
                <w:szCs w:val="20"/>
              </w:rPr>
              <w:t>Title</w:t>
            </w:r>
            <w:r w:rsidR="00CD28B7">
              <w:rPr>
                <w:rFonts w:ascii="Arial" w:hAnsi="Arial" w:cs="Arial"/>
                <w:sz w:val="20"/>
                <w:szCs w:val="20"/>
              </w:rPr>
              <w:t xml:space="preserve"> Board Member</w:t>
            </w:r>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CD28B7" w:rsidRPr="000A4971" w:rsidTr="00D14164">
        <w:trPr>
          <w:trHeight w:val="530"/>
        </w:trPr>
        <w:tc>
          <w:tcPr>
            <w:tcW w:w="3060" w:type="dxa"/>
          </w:tcPr>
          <w:p w:rsidR="00CD28B7" w:rsidRDefault="00CD28B7" w:rsidP="000A4971">
            <w:pPr>
              <w:pStyle w:val="PMOBody"/>
              <w:spacing w:before="60"/>
              <w:ind w:left="0"/>
              <w:rPr>
                <w:rFonts w:ascii="Arial" w:hAnsi="Arial" w:cs="Arial"/>
                <w:sz w:val="20"/>
                <w:szCs w:val="20"/>
              </w:rPr>
            </w:pPr>
            <w:r>
              <w:rPr>
                <w:rFonts w:ascii="Arial" w:hAnsi="Arial" w:cs="Arial"/>
                <w:sz w:val="20"/>
                <w:szCs w:val="20"/>
              </w:rPr>
              <w:t>Name  Chris Marr</w:t>
            </w:r>
          </w:p>
          <w:p w:rsidR="00CD28B7" w:rsidRDefault="00CD28B7" w:rsidP="000A4971">
            <w:pPr>
              <w:pStyle w:val="PMOBody"/>
              <w:spacing w:before="60"/>
              <w:ind w:left="0"/>
              <w:rPr>
                <w:rFonts w:ascii="Arial" w:hAnsi="Arial" w:cs="Arial"/>
                <w:sz w:val="20"/>
                <w:szCs w:val="20"/>
              </w:rPr>
            </w:pPr>
            <w:r>
              <w:rPr>
                <w:rFonts w:ascii="Arial" w:hAnsi="Arial" w:cs="Arial"/>
                <w:sz w:val="20"/>
                <w:szCs w:val="20"/>
              </w:rPr>
              <w:t>Title  Board Member</w:t>
            </w:r>
          </w:p>
        </w:tc>
        <w:tc>
          <w:tcPr>
            <w:tcW w:w="3600" w:type="dxa"/>
          </w:tcPr>
          <w:p w:rsidR="00CD28B7" w:rsidRPr="000A4971" w:rsidRDefault="00CD28B7" w:rsidP="000A4971">
            <w:pPr>
              <w:pStyle w:val="PMOBody"/>
              <w:spacing w:before="60"/>
              <w:ind w:left="0"/>
              <w:rPr>
                <w:rFonts w:ascii="Arial" w:hAnsi="Arial" w:cs="Arial"/>
                <w:sz w:val="20"/>
                <w:szCs w:val="20"/>
              </w:rPr>
            </w:pPr>
          </w:p>
        </w:tc>
        <w:tc>
          <w:tcPr>
            <w:tcW w:w="1620" w:type="dxa"/>
          </w:tcPr>
          <w:p w:rsidR="00CD28B7" w:rsidRPr="000A4971" w:rsidRDefault="00CD28B7" w:rsidP="000A4971">
            <w:pPr>
              <w:pStyle w:val="PMOBody"/>
              <w:spacing w:before="60"/>
              <w:ind w:left="0"/>
              <w:rPr>
                <w:rFonts w:ascii="Arial" w:hAnsi="Arial" w:cs="Arial"/>
                <w:sz w:val="20"/>
                <w:szCs w:val="20"/>
              </w:rPr>
            </w:pPr>
          </w:p>
        </w:tc>
      </w:tr>
    </w:tbl>
    <w:p w:rsidR="00924038" w:rsidRPr="000A4971" w:rsidRDefault="00924038" w:rsidP="000A4971">
      <w:pPr>
        <w:pStyle w:val="PMOBody"/>
        <w:spacing w:before="60"/>
        <w:rPr>
          <w:rFonts w:ascii="Arial" w:hAnsi="Arial" w:cs="Arial"/>
          <w:sz w:val="20"/>
          <w:szCs w:val="20"/>
        </w:rPr>
      </w:pPr>
    </w:p>
    <w:p w:rsidR="00924038" w:rsidRPr="000A4971" w:rsidRDefault="00924038" w:rsidP="000A4971">
      <w:pPr>
        <w:pStyle w:val="PMOBody"/>
        <w:spacing w:before="60"/>
        <w:rPr>
          <w:rFonts w:ascii="Arial" w:hAnsi="Arial" w:cs="Arial"/>
          <w:sz w:val="20"/>
          <w:szCs w:val="20"/>
        </w:rPr>
      </w:pPr>
    </w:p>
    <w:p w:rsidR="00924038" w:rsidRPr="000A4971" w:rsidRDefault="00FC7C59" w:rsidP="000A4971">
      <w:pPr>
        <w:pStyle w:val="PMOHeadingInstruction"/>
        <w:spacing w:before="60"/>
        <w:rPr>
          <w:rFonts w:ascii="Arial" w:hAnsi="Arial" w:cs="Arial"/>
          <w:szCs w:val="20"/>
        </w:rPr>
      </w:pPr>
      <w:r w:rsidRPr="000A4971">
        <w:rPr>
          <w:rFonts w:ascii="Arial" w:hAnsi="Arial" w:cs="Arial"/>
          <w:szCs w:val="20"/>
        </w:rPr>
        <w:t xml:space="preserve">.  </w:t>
      </w:r>
    </w:p>
    <w:p w:rsidR="00FC7C59" w:rsidRPr="000A4971" w:rsidRDefault="00FC7C59" w:rsidP="000A4971">
      <w:pPr>
        <w:spacing w:before="60"/>
        <w:rPr>
          <w:rFonts w:cs="Arial"/>
          <w:color w:val="666699"/>
          <w:szCs w:val="20"/>
        </w:rPr>
      </w:pPr>
    </w:p>
    <w:p w:rsidR="000E4278" w:rsidRDefault="006966F5" w:rsidP="00577896">
      <w:pPr>
        <w:pStyle w:val="Header"/>
        <w:pBdr>
          <w:bottom w:val="thickThinSmallGap" w:sz="24" w:space="1" w:color="622423" w:themeColor="accent2" w:themeShade="7F"/>
        </w:pBdr>
        <w:rPr>
          <w:szCs w:val="20"/>
          <w:lang w:val="fr-FR"/>
        </w:rPr>
      </w:pPr>
      <w:r w:rsidRPr="000A4971">
        <w:rPr>
          <w:szCs w:val="20"/>
          <w:lang w:val="fr-FR"/>
        </w:rPr>
        <w:br w:type="page"/>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273"/>
        <w:gridCol w:w="1708"/>
      </w:tblGrid>
      <w:tr w:rsidR="00B9159F" w:rsidRPr="00490CAA" w:rsidTr="00B9159F">
        <w:trPr>
          <w:cantSplit/>
          <w:trHeight w:val="279"/>
          <w:tblHeader/>
          <w:jc w:val="center"/>
        </w:trPr>
        <w:tc>
          <w:tcPr>
            <w:tcW w:w="7773" w:type="dxa"/>
            <w:gridSpan w:val="3"/>
            <w:tcBorders>
              <w:top w:val="nil"/>
              <w:left w:val="nil"/>
              <w:bottom w:val="nil"/>
              <w:right w:val="nil"/>
            </w:tcBorders>
          </w:tcPr>
          <w:p w:rsidR="00B9159F" w:rsidRPr="00490CAA" w:rsidRDefault="00B9159F" w:rsidP="000E4278">
            <w:pPr>
              <w:pStyle w:val="PMOBody"/>
              <w:ind w:left="-90" w:right="-108"/>
              <w:jc w:val="center"/>
              <w:rPr>
                <w:b/>
                <w:u w:val="single"/>
              </w:rPr>
            </w:pPr>
            <w:r>
              <w:rPr>
                <w:b/>
                <w:u w:val="single"/>
              </w:rPr>
              <w:lastRenderedPageBreak/>
              <w:t>Proposed Banned Product List</w:t>
            </w:r>
          </w:p>
        </w:tc>
      </w:tr>
      <w:tr w:rsidR="000E4278" w:rsidRPr="00490CAA" w:rsidTr="00B9159F">
        <w:trPr>
          <w:cantSplit/>
          <w:trHeight w:val="549"/>
          <w:tblHeader/>
          <w:jc w:val="center"/>
        </w:trPr>
        <w:tc>
          <w:tcPr>
            <w:tcW w:w="2792" w:type="dxa"/>
            <w:tcBorders>
              <w:top w:val="nil"/>
            </w:tcBorders>
          </w:tcPr>
          <w:p w:rsidR="000E4278" w:rsidRPr="00656432" w:rsidRDefault="000E4278" w:rsidP="000E4278">
            <w:pPr>
              <w:pStyle w:val="PMOBody"/>
              <w:ind w:left="0"/>
              <w:rPr>
                <w:b/>
                <w:u w:val="single"/>
              </w:rPr>
            </w:pPr>
            <w:r>
              <w:rPr>
                <w:b/>
                <w:u w:val="single"/>
              </w:rPr>
              <w:t>Manufacturer</w:t>
            </w:r>
          </w:p>
        </w:tc>
        <w:tc>
          <w:tcPr>
            <w:tcW w:w="3273" w:type="dxa"/>
            <w:tcBorders>
              <w:top w:val="nil"/>
            </w:tcBorders>
          </w:tcPr>
          <w:p w:rsidR="000E4278" w:rsidRPr="00490CAA" w:rsidRDefault="000E4278" w:rsidP="000E4278">
            <w:pPr>
              <w:pStyle w:val="PMOBody"/>
              <w:ind w:left="0"/>
              <w:rPr>
                <w:b/>
                <w:u w:val="single"/>
              </w:rPr>
            </w:pPr>
            <w:r>
              <w:br w:type="page"/>
            </w:r>
            <w:r w:rsidRPr="00490CAA">
              <w:rPr>
                <w:b/>
                <w:u w:val="single"/>
              </w:rPr>
              <w:t>Brand Name</w:t>
            </w:r>
          </w:p>
        </w:tc>
        <w:tc>
          <w:tcPr>
            <w:tcW w:w="1708" w:type="dxa"/>
            <w:tcBorders>
              <w:top w:val="nil"/>
            </w:tcBorders>
          </w:tcPr>
          <w:p w:rsidR="000E4278" w:rsidRDefault="000E4278" w:rsidP="000E4278">
            <w:pPr>
              <w:pStyle w:val="PMOBody"/>
              <w:ind w:left="-90" w:right="-108"/>
              <w:jc w:val="center"/>
              <w:rPr>
                <w:b/>
                <w:u w:val="single"/>
              </w:rPr>
            </w:pPr>
            <w:r w:rsidRPr="00490CAA">
              <w:rPr>
                <w:b/>
                <w:u w:val="single"/>
              </w:rPr>
              <w:t>Alcohol Content by Volume</w:t>
            </w:r>
          </w:p>
          <w:p w:rsidR="000E4278" w:rsidRPr="00490CAA" w:rsidRDefault="000E4278" w:rsidP="000E4278">
            <w:pPr>
              <w:pStyle w:val="PMOBody"/>
              <w:ind w:left="-90" w:right="-108"/>
              <w:jc w:val="center"/>
              <w:rPr>
                <w:b/>
                <w:u w:val="single"/>
              </w:rPr>
            </w:pPr>
          </w:p>
        </w:tc>
      </w:tr>
      <w:tr w:rsidR="000E4278" w:rsidRPr="00490CAA" w:rsidTr="000E4278">
        <w:trPr>
          <w:cantSplit/>
          <w:jc w:val="center"/>
        </w:trPr>
        <w:tc>
          <w:tcPr>
            <w:tcW w:w="2792" w:type="dxa"/>
          </w:tcPr>
          <w:p w:rsidR="000E4278" w:rsidRPr="00DE591F" w:rsidRDefault="000E4278" w:rsidP="000E4278">
            <w:pPr>
              <w:pStyle w:val="PMOBody"/>
              <w:ind w:left="0"/>
              <w:rPr>
                <w:b/>
              </w:rPr>
            </w:pPr>
            <w:r w:rsidRPr="00DE591F">
              <w:rPr>
                <w:b/>
              </w:rPr>
              <w:t>Colt 45</w:t>
            </w:r>
          </w:p>
        </w:tc>
        <w:tc>
          <w:tcPr>
            <w:tcW w:w="3273" w:type="dxa"/>
          </w:tcPr>
          <w:p w:rsidR="000E4278" w:rsidRPr="00DE591F" w:rsidRDefault="000E4278" w:rsidP="000E4278">
            <w:pPr>
              <w:pStyle w:val="PMOBody"/>
              <w:ind w:left="0"/>
              <w:rPr>
                <w:b/>
              </w:rPr>
            </w:pPr>
            <w:r w:rsidRPr="00DE591F">
              <w:rPr>
                <w:b/>
              </w:rPr>
              <w:t>Blast (all products)</w:t>
            </w:r>
          </w:p>
        </w:tc>
        <w:tc>
          <w:tcPr>
            <w:tcW w:w="1708" w:type="dxa"/>
          </w:tcPr>
          <w:p w:rsidR="000E4278" w:rsidRPr="00DE591F" w:rsidRDefault="000E4278" w:rsidP="000E4278">
            <w:pPr>
              <w:pStyle w:val="PMOBody"/>
              <w:ind w:left="0"/>
              <w:jc w:val="center"/>
              <w:rPr>
                <w:b/>
              </w:rPr>
            </w:pPr>
            <w:r w:rsidRPr="00DE591F">
              <w:rPr>
                <w:b/>
              </w:rPr>
              <w:t>12%</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Stroh Brewing Co</w:t>
            </w:r>
          </w:p>
        </w:tc>
        <w:tc>
          <w:tcPr>
            <w:tcW w:w="3273" w:type="dxa"/>
          </w:tcPr>
          <w:p w:rsidR="000E4278" w:rsidRPr="00BB4A99" w:rsidRDefault="000E4278" w:rsidP="000E4278">
            <w:pPr>
              <w:pStyle w:val="PMOBody"/>
              <w:ind w:left="0"/>
              <w:rPr>
                <w:b/>
              </w:rPr>
            </w:pPr>
            <w:r w:rsidRPr="00BB4A99">
              <w:rPr>
                <w:b/>
              </w:rPr>
              <w:t>Bull Ice</w:t>
            </w:r>
          </w:p>
        </w:tc>
        <w:tc>
          <w:tcPr>
            <w:tcW w:w="1708" w:type="dxa"/>
          </w:tcPr>
          <w:p w:rsidR="000E4278" w:rsidRPr="00BB4A99" w:rsidRDefault="000E4278" w:rsidP="000E4278">
            <w:pPr>
              <w:pStyle w:val="PMOBody"/>
              <w:ind w:left="0"/>
              <w:jc w:val="center"/>
              <w:rPr>
                <w:b/>
              </w:rPr>
            </w:pPr>
            <w:r w:rsidRPr="00BB4A99">
              <w:rPr>
                <w:b/>
              </w:rPr>
              <w:t>8%</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Anheuser Busch Inc</w:t>
            </w:r>
          </w:p>
        </w:tc>
        <w:tc>
          <w:tcPr>
            <w:tcW w:w="3273" w:type="dxa"/>
          </w:tcPr>
          <w:p w:rsidR="000E4278" w:rsidRPr="00BB4A99" w:rsidRDefault="000E4278" w:rsidP="000E4278">
            <w:pPr>
              <w:pStyle w:val="PMOBody"/>
              <w:ind w:left="0"/>
              <w:rPr>
                <w:b/>
              </w:rPr>
            </w:pPr>
            <w:r w:rsidRPr="00BB4A99">
              <w:rPr>
                <w:b/>
              </w:rPr>
              <w:t>Busch Ice</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Anheuser Busch Inc</w:t>
            </w:r>
          </w:p>
        </w:tc>
        <w:tc>
          <w:tcPr>
            <w:tcW w:w="3273" w:type="dxa"/>
          </w:tcPr>
          <w:p w:rsidR="000E4278" w:rsidRPr="00BB4A99" w:rsidRDefault="000E4278" w:rsidP="000E4278">
            <w:pPr>
              <w:pStyle w:val="PMOBody"/>
              <w:ind w:left="0"/>
              <w:rPr>
                <w:b/>
              </w:rPr>
            </w:pPr>
            <w:r w:rsidRPr="00BB4A99">
              <w:rPr>
                <w:b/>
              </w:rPr>
              <w:t>Cobra</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G Heileman Brewing</w:t>
            </w:r>
          </w:p>
        </w:tc>
        <w:tc>
          <w:tcPr>
            <w:tcW w:w="3273" w:type="dxa"/>
          </w:tcPr>
          <w:p w:rsidR="000E4278" w:rsidRPr="00BB4A99" w:rsidRDefault="000E4278" w:rsidP="000E4278">
            <w:pPr>
              <w:pStyle w:val="PMOBody"/>
              <w:ind w:left="0"/>
              <w:rPr>
                <w:b/>
              </w:rPr>
            </w:pPr>
            <w:r w:rsidRPr="00BB4A99">
              <w:rPr>
                <w:b/>
              </w:rPr>
              <w:t>Colt 45 Ice</w:t>
            </w:r>
          </w:p>
        </w:tc>
        <w:tc>
          <w:tcPr>
            <w:tcW w:w="1708" w:type="dxa"/>
          </w:tcPr>
          <w:p w:rsidR="000E4278" w:rsidRPr="00BB4A99" w:rsidRDefault="000E4278" w:rsidP="000E4278">
            <w:pPr>
              <w:pStyle w:val="PMOBody"/>
              <w:ind w:left="0"/>
              <w:jc w:val="center"/>
              <w:rPr>
                <w:b/>
              </w:rPr>
            </w:pPr>
            <w:r w:rsidRPr="00BB4A99">
              <w:rPr>
                <w:b/>
              </w:rPr>
              <w:t>6.1%</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G Heileman Brewing</w:t>
            </w:r>
          </w:p>
        </w:tc>
        <w:tc>
          <w:tcPr>
            <w:tcW w:w="3273" w:type="dxa"/>
          </w:tcPr>
          <w:p w:rsidR="000E4278" w:rsidRPr="00BB4A99" w:rsidRDefault="000E4278" w:rsidP="000E4278">
            <w:pPr>
              <w:pStyle w:val="PMOBody"/>
              <w:ind w:left="0"/>
              <w:rPr>
                <w:b/>
              </w:rPr>
            </w:pPr>
            <w:r w:rsidRPr="00BB4A99">
              <w:rPr>
                <w:b/>
              </w:rPr>
              <w:t>Colt 45 Malt Liquor</w:t>
            </w:r>
          </w:p>
        </w:tc>
        <w:tc>
          <w:tcPr>
            <w:tcW w:w="1708" w:type="dxa"/>
          </w:tcPr>
          <w:p w:rsidR="000E4278" w:rsidRPr="00BB4A99" w:rsidRDefault="000E4278" w:rsidP="000E4278">
            <w:pPr>
              <w:pStyle w:val="PMOBody"/>
              <w:ind w:left="0"/>
              <w:jc w:val="center"/>
              <w:rPr>
                <w:b/>
              </w:rPr>
            </w:pPr>
            <w:r w:rsidRPr="00BB4A99">
              <w:rPr>
                <w:b/>
              </w:rPr>
              <w:t>6.4%</w:t>
            </w:r>
          </w:p>
        </w:tc>
      </w:tr>
      <w:tr w:rsidR="000E4278" w:rsidRPr="00490CAA" w:rsidTr="000E4278">
        <w:trPr>
          <w:cantSplit/>
          <w:jc w:val="center"/>
        </w:trPr>
        <w:tc>
          <w:tcPr>
            <w:tcW w:w="2792" w:type="dxa"/>
          </w:tcPr>
          <w:p w:rsidR="000E4278" w:rsidRPr="00DE591F" w:rsidRDefault="000E4278" w:rsidP="000E4278">
            <w:pPr>
              <w:pStyle w:val="PMOBody"/>
              <w:ind w:left="0"/>
              <w:rPr>
                <w:b/>
              </w:rPr>
            </w:pPr>
            <w:r>
              <w:rPr>
                <w:b/>
              </w:rPr>
              <w:t>Charge Beverages Corp</w:t>
            </w:r>
          </w:p>
        </w:tc>
        <w:tc>
          <w:tcPr>
            <w:tcW w:w="3273" w:type="dxa"/>
          </w:tcPr>
          <w:p w:rsidR="000E4278" w:rsidRPr="00DE591F" w:rsidRDefault="000E4278" w:rsidP="000E4278">
            <w:pPr>
              <w:pStyle w:val="PMOBody"/>
              <w:ind w:left="0"/>
              <w:rPr>
                <w:b/>
              </w:rPr>
            </w:pPr>
            <w:r>
              <w:rPr>
                <w:b/>
              </w:rPr>
              <w:t>Core (all products)</w:t>
            </w:r>
          </w:p>
        </w:tc>
        <w:tc>
          <w:tcPr>
            <w:tcW w:w="1708" w:type="dxa"/>
          </w:tcPr>
          <w:p w:rsidR="000E4278" w:rsidRPr="00DE591F" w:rsidRDefault="000E4278" w:rsidP="000E4278">
            <w:pPr>
              <w:pStyle w:val="PMOBody"/>
              <w:ind w:left="0"/>
              <w:jc w:val="center"/>
              <w:rPr>
                <w:b/>
              </w:rPr>
            </w:pPr>
            <w:r>
              <w:rPr>
                <w:b/>
              </w:rPr>
              <w:t>12%</w:t>
            </w:r>
          </w:p>
        </w:tc>
      </w:tr>
      <w:tr w:rsidR="000E4278" w:rsidRPr="00490CAA" w:rsidTr="000E4278">
        <w:trPr>
          <w:cantSplit/>
          <w:jc w:val="center"/>
        </w:trPr>
        <w:tc>
          <w:tcPr>
            <w:tcW w:w="2792" w:type="dxa"/>
          </w:tcPr>
          <w:p w:rsidR="000E4278" w:rsidRPr="00DE591F" w:rsidRDefault="000E4278" w:rsidP="000E4278">
            <w:pPr>
              <w:pStyle w:val="PMOBody"/>
              <w:ind w:left="0"/>
              <w:rPr>
                <w:b/>
              </w:rPr>
            </w:pPr>
            <w:r w:rsidRPr="00DE591F">
              <w:rPr>
                <w:b/>
              </w:rPr>
              <w:t>Rock Wall Brewing Co</w:t>
            </w:r>
          </w:p>
        </w:tc>
        <w:tc>
          <w:tcPr>
            <w:tcW w:w="3273" w:type="dxa"/>
          </w:tcPr>
          <w:p w:rsidR="000E4278" w:rsidRPr="00DE591F" w:rsidRDefault="000E4278" w:rsidP="000E4278">
            <w:pPr>
              <w:pStyle w:val="PMOBody"/>
              <w:ind w:left="0"/>
              <w:rPr>
                <w:b/>
              </w:rPr>
            </w:pPr>
            <w:r w:rsidRPr="00DE591F">
              <w:rPr>
                <w:b/>
              </w:rPr>
              <w:t>Dog Bite</w:t>
            </w:r>
          </w:p>
        </w:tc>
        <w:tc>
          <w:tcPr>
            <w:tcW w:w="1708" w:type="dxa"/>
          </w:tcPr>
          <w:p w:rsidR="000E4278" w:rsidRPr="00DE591F" w:rsidRDefault="000E4278" w:rsidP="000E4278">
            <w:pPr>
              <w:pStyle w:val="PMOBody"/>
              <w:ind w:left="0"/>
              <w:jc w:val="center"/>
              <w:rPr>
                <w:b/>
              </w:rPr>
            </w:pPr>
            <w:r w:rsidRPr="00DE591F">
              <w:rPr>
                <w:b/>
              </w:rPr>
              <w:t>10%</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Drink Four Brewing Co</w:t>
            </w:r>
          </w:p>
        </w:tc>
        <w:tc>
          <w:tcPr>
            <w:tcW w:w="3273" w:type="dxa"/>
          </w:tcPr>
          <w:p w:rsidR="000E4278" w:rsidRPr="00BB4A99" w:rsidRDefault="000E4278" w:rsidP="000E4278">
            <w:pPr>
              <w:pStyle w:val="PMOBody"/>
              <w:ind w:left="0"/>
              <w:rPr>
                <w:b/>
              </w:rPr>
            </w:pPr>
            <w:r w:rsidRPr="00BB4A99">
              <w:rPr>
                <w:b/>
              </w:rPr>
              <w:t>Drink Four (all products)</w:t>
            </w:r>
          </w:p>
        </w:tc>
        <w:tc>
          <w:tcPr>
            <w:tcW w:w="1708" w:type="dxa"/>
          </w:tcPr>
          <w:p w:rsidR="000E4278" w:rsidRPr="00BB4A99" w:rsidRDefault="000E4278" w:rsidP="000E4278">
            <w:pPr>
              <w:pStyle w:val="PMOBody"/>
              <w:ind w:left="0"/>
              <w:jc w:val="center"/>
              <w:rPr>
                <w:b/>
              </w:rPr>
            </w:pPr>
            <w:r w:rsidRPr="00BB4A99">
              <w:rPr>
                <w:b/>
              </w:rPr>
              <w:t>10% - 12 %</w:t>
            </w:r>
          </w:p>
        </w:tc>
      </w:tr>
      <w:tr w:rsidR="000E4278" w:rsidRPr="00490CAA" w:rsidTr="000E4278">
        <w:trPr>
          <w:cantSplit/>
          <w:jc w:val="center"/>
        </w:trPr>
        <w:tc>
          <w:tcPr>
            <w:tcW w:w="2792" w:type="dxa"/>
          </w:tcPr>
          <w:p w:rsidR="000E4278" w:rsidRPr="00DE591F" w:rsidRDefault="000E4278" w:rsidP="000E4278">
            <w:pPr>
              <w:pStyle w:val="PMOBody"/>
              <w:ind w:left="0"/>
              <w:rPr>
                <w:b/>
              </w:rPr>
            </w:pPr>
            <w:r w:rsidRPr="00DE591F">
              <w:rPr>
                <w:b/>
              </w:rPr>
              <w:t>City Brewing Co</w:t>
            </w:r>
          </w:p>
        </w:tc>
        <w:tc>
          <w:tcPr>
            <w:tcW w:w="3273" w:type="dxa"/>
          </w:tcPr>
          <w:p w:rsidR="000E4278" w:rsidRPr="00DE591F" w:rsidRDefault="000E4278" w:rsidP="000E4278">
            <w:pPr>
              <w:pStyle w:val="PMOBody"/>
              <w:ind w:left="0"/>
              <w:rPr>
                <w:b/>
              </w:rPr>
            </w:pPr>
            <w:r w:rsidRPr="00DE591F">
              <w:rPr>
                <w:b/>
              </w:rPr>
              <w:t xml:space="preserve">Earthquake </w:t>
            </w:r>
            <w:r>
              <w:rPr>
                <w:b/>
              </w:rPr>
              <w:t>(all products)</w:t>
            </w:r>
          </w:p>
        </w:tc>
        <w:tc>
          <w:tcPr>
            <w:tcW w:w="1708" w:type="dxa"/>
          </w:tcPr>
          <w:p w:rsidR="000E4278" w:rsidRPr="00DE591F" w:rsidRDefault="000E4278" w:rsidP="000E4278">
            <w:pPr>
              <w:pStyle w:val="PMOBody"/>
              <w:ind w:left="0"/>
              <w:jc w:val="center"/>
              <w:rPr>
                <w:b/>
              </w:rPr>
            </w:pPr>
            <w:r>
              <w:rPr>
                <w:b/>
              </w:rPr>
              <w:t>8.1% - 12%</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 Co</w:t>
            </w:r>
          </w:p>
        </w:tc>
        <w:tc>
          <w:tcPr>
            <w:tcW w:w="3273" w:type="dxa"/>
          </w:tcPr>
          <w:p w:rsidR="000E4278" w:rsidRPr="00BB4A99" w:rsidRDefault="000E4278" w:rsidP="000E4278">
            <w:pPr>
              <w:pStyle w:val="PMOBody"/>
              <w:ind w:left="0"/>
              <w:rPr>
                <w:b/>
              </w:rPr>
            </w:pPr>
            <w:r w:rsidRPr="00BB4A99">
              <w:rPr>
                <w:b/>
              </w:rPr>
              <w:t>Hamm’s Ice Brewed Ale</w:t>
            </w:r>
          </w:p>
        </w:tc>
        <w:tc>
          <w:tcPr>
            <w:tcW w:w="1708" w:type="dxa"/>
          </w:tcPr>
          <w:p w:rsidR="000E4278" w:rsidRPr="00BB4A99" w:rsidRDefault="000E4278" w:rsidP="000E4278">
            <w:pPr>
              <w:pStyle w:val="PMOBody"/>
              <w:ind w:left="0"/>
              <w:jc w:val="center"/>
              <w:rPr>
                <w:b/>
              </w:rPr>
            </w:pPr>
            <w:r w:rsidRPr="00BB4A99">
              <w:rPr>
                <w:b/>
              </w:rPr>
              <w:t>6.1%</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 Co</w:t>
            </w:r>
          </w:p>
        </w:tc>
        <w:tc>
          <w:tcPr>
            <w:tcW w:w="3273" w:type="dxa"/>
          </w:tcPr>
          <w:p w:rsidR="000E4278" w:rsidRPr="00BB4A99" w:rsidRDefault="000E4278" w:rsidP="000E4278">
            <w:pPr>
              <w:pStyle w:val="PMOBody"/>
              <w:ind w:left="0"/>
              <w:rPr>
                <w:b/>
              </w:rPr>
            </w:pPr>
            <w:r w:rsidRPr="00BB4A99">
              <w:rPr>
                <w:b/>
              </w:rPr>
              <w:t>Hamm’s Ice Brewed Beer</w:t>
            </w:r>
          </w:p>
        </w:tc>
        <w:tc>
          <w:tcPr>
            <w:tcW w:w="1708" w:type="dxa"/>
          </w:tcPr>
          <w:p w:rsidR="000E4278" w:rsidRPr="00BB4A99" w:rsidRDefault="000E4278" w:rsidP="000E4278">
            <w:pPr>
              <w:pStyle w:val="PMOBody"/>
              <w:ind w:left="0"/>
              <w:jc w:val="center"/>
              <w:rPr>
                <w:b/>
              </w:rPr>
            </w:pPr>
            <w:r w:rsidRPr="00BB4A99">
              <w:rPr>
                <w:b/>
              </w:rPr>
              <w:t>6.1%</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City Brewing Co</w:t>
            </w:r>
          </w:p>
        </w:tc>
        <w:tc>
          <w:tcPr>
            <w:tcW w:w="3273" w:type="dxa"/>
          </w:tcPr>
          <w:p w:rsidR="000E4278" w:rsidRPr="00BB4A99" w:rsidRDefault="000E4278" w:rsidP="000E4278">
            <w:pPr>
              <w:pStyle w:val="PMOBody"/>
              <w:ind w:left="0"/>
              <w:rPr>
                <w:b/>
              </w:rPr>
            </w:pPr>
            <w:r w:rsidRPr="00BB4A99">
              <w:rPr>
                <w:b/>
              </w:rPr>
              <w:t xml:space="preserve">Hard Wired </w:t>
            </w:r>
          </w:p>
        </w:tc>
        <w:tc>
          <w:tcPr>
            <w:tcW w:w="1708" w:type="dxa"/>
          </w:tcPr>
          <w:p w:rsidR="000E4278" w:rsidRPr="00BB4A99" w:rsidRDefault="000E4278" w:rsidP="000E4278">
            <w:pPr>
              <w:pStyle w:val="PMOBody"/>
              <w:ind w:left="0"/>
              <w:jc w:val="center"/>
              <w:rPr>
                <w:b/>
              </w:rPr>
            </w:pPr>
            <w:r w:rsidRPr="00BB4A99">
              <w:rPr>
                <w:b/>
              </w:rPr>
              <w:t>6.9%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 xml:space="preserve">Five Star Brewing Co </w:t>
            </w:r>
          </w:p>
        </w:tc>
        <w:tc>
          <w:tcPr>
            <w:tcW w:w="3273" w:type="dxa"/>
          </w:tcPr>
          <w:p w:rsidR="000E4278" w:rsidRPr="00BB4A99" w:rsidRDefault="000E4278" w:rsidP="000E4278">
            <w:pPr>
              <w:pStyle w:val="PMOBody"/>
              <w:ind w:left="0"/>
              <w:rPr>
                <w:b/>
              </w:rPr>
            </w:pPr>
            <w:r w:rsidRPr="00BB4A99">
              <w:rPr>
                <w:b/>
              </w:rPr>
              <w:t>High Gravity (all products)</w:t>
            </w:r>
          </w:p>
        </w:tc>
        <w:tc>
          <w:tcPr>
            <w:tcW w:w="1708" w:type="dxa"/>
          </w:tcPr>
          <w:p w:rsidR="000E4278" w:rsidRPr="00BB4A99" w:rsidRDefault="000E4278" w:rsidP="000E4278">
            <w:pPr>
              <w:pStyle w:val="PMOBody"/>
              <w:ind w:left="0"/>
              <w:jc w:val="center"/>
              <w:rPr>
                <w:b/>
              </w:rPr>
            </w:pPr>
            <w:r w:rsidRPr="00BB4A99">
              <w:rPr>
                <w:b/>
              </w:rPr>
              <w:t>8.1% - 9%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Anheuser Busch Inc</w:t>
            </w:r>
          </w:p>
        </w:tc>
        <w:tc>
          <w:tcPr>
            <w:tcW w:w="3273" w:type="dxa"/>
          </w:tcPr>
          <w:p w:rsidR="000E4278" w:rsidRPr="00BB4A99" w:rsidRDefault="000E4278" w:rsidP="000E4278">
            <w:pPr>
              <w:pStyle w:val="PMOBody"/>
              <w:ind w:left="0"/>
              <w:rPr>
                <w:b/>
              </w:rPr>
            </w:pPr>
            <w:r w:rsidRPr="00BB4A99">
              <w:rPr>
                <w:b/>
              </w:rPr>
              <w:t>Hurricane (all products)</w:t>
            </w:r>
          </w:p>
        </w:tc>
        <w:tc>
          <w:tcPr>
            <w:tcW w:w="1708" w:type="dxa"/>
          </w:tcPr>
          <w:p w:rsidR="000E4278" w:rsidRPr="00BB4A99" w:rsidRDefault="000E4278" w:rsidP="000E4278">
            <w:pPr>
              <w:pStyle w:val="PMOBody"/>
              <w:ind w:left="0"/>
              <w:jc w:val="center"/>
              <w:rPr>
                <w:b/>
              </w:rPr>
            </w:pPr>
            <w:r w:rsidRPr="00BB4A99">
              <w:rPr>
                <w:b/>
              </w:rPr>
              <w:t>5.9% - 12%</w:t>
            </w:r>
          </w:p>
        </w:tc>
      </w:tr>
      <w:tr w:rsidR="000E4278" w:rsidRPr="00490CAA" w:rsidTr="000E4278">
        <w:trPr>
          <w:cantSplit/>
          <w:jc w:val="center"/>
        </w:trPr>
        <w:tc>
          <w:tcPr>
            <w:tcW w:w="2792" w:type="dxa"/>
          </w:tcPr>
          <w:p w:rsidR="000E4278" w:rsidRPr="00DE591F" w:rsidRDefault="000E4278" w:rsidP="000E4278">
            <w:pPr>
              <w:pStyle w:val="PMOBody"/>
              <w:ind w:left="0"/>
              <w:rPr>
                <w:b/>
              </w:rPr>
            </w:pPr>
            <w:r>
              <w:rPr>
                <w:b/>
              </w:rPr>
              <w:t>JW Distilling Co</w:t>
            </w:r>
          </w:p>
        </w:tc>
        <w:tc>
          <w:tcPr>
            <w:tcW w:w="3273" w:type="dxa"/>
          </w:tcPr>
          <w:p w:rsidR="000E4278" w:rsidRPr="00DE591F" w:rsidRDefault="000E4278" w:rsidP="000E4278">
            <w:pPr>
              <w:pStyle w:val="PMOBody"/>
              <w:ind w:left="0"/>
              <w:rPr>
                <w:b/>
              </w:rPr>
            </w:pPr>
            <w:r>
              <w:rPr>
                <w:b/>
              </w:rPr>
              <w:t>Jeremiah Weed Lemonade</w:t>
            </w:r>
          </w:p>
        </w:tc>
        <w:tc>
          <w:tcPr>
            <w:tcW w:w="1708" w:type="dxa"/>
          </w:tcPr>
          <w:p w:rsidR="000E4278" w:rsidRPr="00DE591F" w:rsidRDefault="000E4278" w:rsidP="000E4278">
            <w:pPr>
              <w:pStyle w:val="PMOBody"/>
              <w:ind w:left="0"/>
              <w:jc w:val="center"/>
              <w:rPr>
                <w:b/>
              </w:rPr>
            </w:pPr>
            <w:r>
              <w:rPr>
                <w:b/>
              </w:rPr>
              <w:t>5.8%</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United Brands Co</w:t>
            </w:r>
          </w:p>
        </w:tc>
        <w:tc>
          <w:tcPr>
            <w:tcW w:w="3273" w:type="dxa"/>
          </w:tcPr>
          <w:p w:rsidR="000E4278" w:rsidRPr="00BB4A99" w:rsidRDefault="000E4278" w:rsidP="000E4278">
            <w:pPr>
              <w:pStyle w:val="PMOBody"/>
              <w:ind w:left="0"/>
              <w:rPr>
                <w:b/>
              </w:rPr>
            </w:pPr>
            <w:r w:rsidRPr="00BB4A99">
              <w:rPr>
                <w:b/>
              </w:rPr>
              <w:t>Joose (all products)</w:t>
            </w:r>
          </w:p>
        </w:tc>
        <w:tc>
          <w:tcPr>
            <w:tcW w:w="1708" w:type="dxa"/>
          </w:tcPr>
          <w:p w:rsidR="000E4278" w:rsidRPr="00BB4A99" w:rsidRDefault="000E4278" w:rsidP="000E4278">
            <w:pPr>
              <w:pStyle w:val="PMOBody"/>
              <w:ind w:left="0"/>
              <w:jc w:val="center"/>
              <w:rPr>
                <w:b/>
              </w:rPr>
            </w:pPr>
            <w:r w:rsidRPr="00BB4A99">
              <w:rPr>
                <w:b/>
              </w:rPr>
              <w:t>9.9%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MillerCoors</w:t>
            </w:r>
          </w:p>
        </w:tc>
        <w:tc>
          <w:tcPr>
            <w:tcW w:w="3273" w:type="dxa"/>
          </w:tcPr>
          <w:p w:rsidR="000E4278" w:rsidRPr="00BB4A99" w:rsidRDefault="000E4278" w:rsidP="000E4278">
            <w:pPr>
              <w:pStyle w:val="PMOBody"/>
              <w:ind w:left="0"/>
              <w:rPr>
                <w:b/>
              </w:rPr>
            </w:pPr>
            <w:r w:rsidRPr="00BB4A99">
              <w:rPr>
                <w:b/>
              </w:rPr>
              <w:t>Keystone Ice</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AC5AE8" w:rsidRDefault="000E4278" w:rsidP="000E4278">
            <w:pPr>
              <w:pStyle w:val="PMOBody"/>
              <w:ind w:left="0"/>
              <w:rPr>
                <w:b/>
              </w:rPr>
            </w:pPr>
            <w:r>
              <w:rPr>
                <w:b/>
              </w:rPr>
              <w:t>Anheuser Busch Inc</w:t>
            </w:r>
          </w:p>
        </w:tc>
        <w:tc>
          <w:tcPr>
            <w:tcW w:w="3273" w:type="dxa"/>
          </w:tcPr>
          <w:p w:rsidR="000E4278" w:rsidRPr="00AC5AE8" w:rsidRDefault="000E4278" w:rsidP="000E4278">
            <w:pPr>
              <w:pStyle w:val="PMOBody"/>
              <w:ind w:left="0"/>
              <w:rPr>
                <w:b/>
              </w:rPr>
            </w:pPr>
            <w:r w:rsidRPr="00AC5AE8">
              <w:rPr>
                <w:b/>
              </w:rPr>
              <w:t>King Cobra</w:t>
            </w:r>
          </w:p>
        </w:tc>
        <w:tc>
          <w:tcPr>
            <w:tcW w:w="1708" w:type="dxa"/>
          </w:tcPr>
          <w:p w:rsidR="000E4278" w:rsidRPr="00AC5AE8" w:rsidRDefault="000E4278" w:rsidP="000E4278">
            <w:pPr>
              <w:pStyle w:val="PMOBody"/>
              <w:ind w:left="0"/>
              <w:jc w:val="center"/>
              <w:rPr>
                <w:b/>
              </w:rPr>
            </w:pPr>
            <w:r w:rsidRPr="00AC5AE8">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w:t>
            </w:r>
          </w:p>
        </w:tc>
        <w:tc>
          <w:tcPr>
            <w:tcW w:w="3273" w:type="dxa"/>
          </w:tcPr>
          <w:p w:rsidR="000E4278" w:rsidRPr="00BB4A99" w:rsidRDefault="000E4278" w:rsidP="000E4278">
            <w:pPr>
              <w:pStyle w:val="PMOBody"/>
              <w:ind w:left="0"/>
              <w:rPr>
                <w:b/>
              </w:rPr>
            </w:pPr>
            <w:r w:rsidRPr="00BB4A99">
              <w:rPr>
                <w:b/>
              </w:rPr>
              <w:t>Lucky Ice Ale Premium</w:t>
            </w:r>
          </w:p>
        </w:tc>
        <w:tc>
          <w:tcPr>
            <w:tcW w:w="1708" w:type="dxa"/>
          </w:tcPr>
          <w:p w:rsidR="000E4278" w:rsidRPr="00BB4A99" w:rsidRDefault="000E4278" w:rsidP="000E4278">
            <w:pPr>
              <w:pStyle w:val="PMOBody"/>
              <w:ind w:left="0"/>
              <w:jc w:val="center"/>
              <w:rPr>
                <w:b/>
              </w:rPr>
            </w:pPr>
            <w:r w:rsidRPr="00BB4A99">
              <w:rPr>
                <w:b/>
              </w:rPr>
              <w:t>6.1%</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w:t>
            </w:r>
          </w:p>
        </w:tc>
        <w:tc>
          <w:tcPr>
            <w:tcW w:w="3273" w:type="dxa"/>
          </w:tcPr>
          <w:p w:rsidR="000E4278" w:rsidRPr="00BB4A99" w:rsidRDefault="000E4278" w:rsidP="000E4278">
            <w:pPr>
              <w:pStyle w:val="PMOBody"/>
              <w:ind w:left="0"/>
              <w:rPr>
                <w:b/>
              </w:rPr>
            </w:pPr>
            <w:r w:rsidRPr="00BB4A99">
              <w:rPr>
                <w:b/>
              </w:rPr>
              <w:t>Lucky Ice Beer</w:t>
            </w:r>
          </w:p>
        </w:tc>
        <w:tc>
          <w:tcPr>
            <w:tcW w:w="1708" w:type="dxa"/>
          </w:tcPr>
          <w:p w:rsidR="000E4278" w:rsidRPr="00BB4A99" w:rsidRDefault="000E4278" w:rsidP="000E4278">
            <w:pPr>
              <w:pStyle w:val="PMOBody"/>
              <w:ind w:left="0"/>
              <w:jc w:val="center"/>
              <w:rPr>
                <w:b/>
              </w:rPr>
            </w:pPr>
            <w:r w:rsidRPr="00BB4A99">
              <w:rPr>
                <w:b/>
              </w:rPr>
              <w:t>6.1%</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MillerCoors</w:t>
            </w:r>
          </w:p>
        </w:tc>
        <w:tc>
          <w:tcPr>
            <w:tcW w:w="3273" w:type="dxa"/>
          </w:tcPr>
          <w:p w:rsidR="000E4278" w:rsidRPr="00BB4A99" w:rsidRDefault="000E4278" w:rsidP="000E4278">
            <w:pPr>
              <w:pStyle w:val="PMOBody"/>
              <w:ind w:left="0"/>
              <w:rPr>
                <w:b/>
              </w:rPr>
            </w:pPr>
            <w:r w:rsidRPr="00BB4A99">
              <w:rPr>
                <w:b/>
              </w:rPr>
              <w:t>Magnum Malt Liquor</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AC5AE8" w:rsidRDefault="000E4278" w:rsidP="000E4278">
            <w:pPr>
              <w:pStyle w:val="PMOBody"/>
              <w:ind w:left="0"/>
              <w:rPr>
                <w:b/>
              </w:rPr>
            </w:pPr>
            <w:r>
              <w:rPr>
                <w:b/>
              </w:rPr>
              <w:t>Mark Anthony Brands</w:t>
            </w:r>
          </w:p>
        </w:tc>
        <w:tc>
          <w:tcPr>
            <w:tcW w:w="3273" w:type="dxa"/>
          </w:tcPr>
          <w:p w:rsidR="000E4278" w:rsidRPr="00AC5AE8" w:rsidRDefault="000E4278" w:rsidP="000E4278">
            <w:pPr>
              <w:pStyle w:val="PMOBody"/>
              <w:ind w:left="0"/>
              <w:rPr>
                <w:b/>
              </w:rPr>
            </w:pPr>
            <w:r w:rsidRPr="00AC5AE8">
              <w:rPr>
                <w:b/>
              </w:rPr>
              <w:t>Mike’s Harder Lemonade</w:t>
            </w:r>
          </w:p>
        </w:tc>
        <w:tc>
          <w:tcPr>
            <w:tcW w:w="1708" w:type="dxa"/>
          </w:tcPr>
          <w:p w:rsidR="000E4278" w:rsidRPr="00AC5AE8" w:rsidRDefault="000E4278" w:rsidP="000E4278">
            <w:pPr>
              <w:pStyle w:val="PMOBody"/>
              <w:ind w:left="0"/>
              <w:jc w:val="center"/>
              <w:rPr>
                <w:b/>
              </w:rPr>
            </w:pPr>
            <w:r w:rsidRPr="00AC5AE8">
              <w:rPr>
                <w:b/>
              </w:rPr>
              <w:t>8%</w:t>
            </w:r>
          </w:p>
        </w:tc>
      </w:tr>
      <w:tr w:rsidR="000E4278" w:rsidRPr="00490CAA" w:rsidTr="000E4278">
        <w:trPr>
          <w:cantSplit/>
          <w:jc w:val="center"/>
        </w:trPr>
        <w:tc>
          <w:tcPr>
            <w:tcW w:w="2792" w:type="dxa"/>
          </w:tcPr>
          <w:p w:rsidR="000E4278" w:rsidRPr="00AC5AE8" w:rsidRDefault="000E4278" w:rsidP="000E4278">
            <w:pPr>
              <w:pStyle w:val="PMOBody"/>
              <w:ind w:left="0"/>
              <w:rPr>
                <w:b/>
              </w:rPr>
            </w:pPr>
            <w:r>
              <w:rPr>
                <w:b/>
              </w:rPr>
              <w:t>Mark Anthony Brands</w:t>
            </w:r>
          </w:p>
        </w:tc>
        <w:tc>
          <w:tcPr>
            <w:tcW w:w="3273" w:type="dxa"/>
          </w:tcPr>
          <w:p w:rsidR="000E4278" w:rsidRPr="00AC5AE8" w:rsidRDefault="000E4278" w:rsidP="000E4278">
            <w:pPr>
              <w:pStyle w:val="PMOBody"/>
              <w:ind w:left="0"/>
              <w:rPr>
                <w:b/>
              </w:rPr>
            </w:pPr>
            <w:r w:rsidRPr="00AC5AE8">
              <w:rPr>
                <w:b/>
              </w:rPr>
              <w:t xml:space="preserve">Mike’s Harder </w:t>
            </w:r>
            <w:r>
              <w:rPr>
                <w:b/>
              </w:rPr>
              <w:t>Punch</w:t>
            </w:r>
          </w:p>
        </w:tc>
        <w:tc>
          <w:tcPr>
            <w:tcW w:w="1708" w:type="dxa"/>
          </w:tcPr>
          <w:p w:rsidR="000E4278" w:rsidRPr="00AC5AE8" w:rsidRDefault="000E4278" w:rsidP="000E4278">
            <w:pPr>
              <w:pStyle w:val="PMOBody"/>
              <w:ind w:left="0"/>
              <w:jc w:val="center"/>
              <w:rPr>
                <w:b/>
              </w:rPr>
            </w:pPr>
            <w:r w:rsidRPr="00AC5AE8">
              <w:rPr>
                <w:b/>
              </w:rPr>
              <w:t>8%</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MillerCoors</w:t>
            </w:r>
          </w:p>
        </w:tc>
        <w:tc>
          <w:tcPr>
            <w:tcW w:w="3273" w:type="dxa"/>
          </w:tcPr>
          <w:p w:rsidR="000E4278" w:rsidRPr="00BB4A99" w:rsidRDefault="000E4278" w:rsidP="000E4278">
            <w:pPr>
              <w:pStyle w:val="PMOBody"/>
              <w:ind w:left="0"/>
              <w:rPr>
                <w:b/>
              </w:rPr>
            </w:pPr>
            <w:r w:rsidRPr="00BB4A99">
              <w:rPr>
                <w:b/>
              </w:rPr>
              <w:t>Mickey’s (all products)</w:t>
            </w:r>
          </w:p>
        </w:tc>
        <w:tc>
          <w:tcPr>
            <w:tcW w:w="1708" w:type="dxa"/>
          </w:tcPr>
          <w:p w:rsidR="000E4278" w:rsidRPr="00BB4A99" w:rsidRDefault="000E4278" w:rsidP="000E4278">
            <w:pPr>
              <w:pStyle w:val="PMOBody"/>
              <w:ind w:left="0"/>
              <w:jc w:val="center"/>
              <w:rPr>
                <w:b/>
              </w:rPr>
            </w:pPr>
            <w:r w:rsidRPr="00BB4A99">
              <w:rPr>
                <w:b/>
              </w:rPr>
              <w:t>5.6% - 5.8%</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MillerCoors</w:t>
            </w:r>
          </w:p>
        </w:tc>
        <w:tc>
          <w:tcPr>
            <w:tcW w:w="3273" w:type="dxa"/>
          </w:tcPr>
          <w:p w:rsidR="000E4278" w:rsidRPr="00BB4A99" w:rsidRDefault="000E4278" w:rsidP="000E4278">
            <w:pPr>
              <w:pStyle w:val="PMOBody"/>
              <w:ind w:left="0"/>
              <w:rPr>
                <w:b/>
              </w:rPr>
            </w:pPr>
            <w:r w:rsidRPr="00BB4A99">
              <w:rPr>
                <w:b/>
              </w:rPr>
              <w:t>Milwaukee Best Ice</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MillerCoors</w:t>
            </w:r>
          </w:p>
        </w:tc>
        <w:tc>
          <w:tcPr>
            <w:tcW w:w="3273" w:type="dxa"/>
          </w:tcPr>
          <w:p w:rsidR="000E4278" w:rsidRPr="00BB4A99" w:rsidRDefault="000E4278" w:rsidP="000E4278">
            <w:pPr>
              <w:pStyle w:val="PMOBody"/>
              <w:ind w:left="0"/>
              <w:rPr>
                <w:b/>
              </w:rPr>
            </w:pPr>
            <w:r w:rsidRPr="00BB4A99">
              <w:rPr>
                <w:b/>
              </w:rPr>
              <w:t>Milwaukee Best Premium Ice</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DE591F" w:rsidRDefault="000E4278" w:rsidP="000E4278">
            <w:pPr>
              <w:pStyle w:val="PMOBody"/>
              <w:ind w:left="0"/>
              <w:rPr>
                <w:b/>
              </w:rPr>
            </w:pPr>
            <w:r w:rsidRPr="00DE591F">
              <w:rPr>
                <w:b/>
              </w:rPr>
              <w:t>Anheuser Busch Inc</w:t>
            </w:r>
          </w:p>
        </w:tc>
        <w:tc>
          <w:tcPr>
            <w:tcW w:w="3273" w:type="dxa"/>
          </w:tcPr>
          <w:p w:rsidR="000E4278" w:rsidRPr="00DE591F" w:rsidRDefault="000E4278" w:rsidP="000E4278">
            <w:pPr>
              <w:pStyle w:val="PMOBody"/>
              <w:ind w:left="0"/>
              <w:rPr>
                <w:b/>
              </w:rPr>
            </w:pPr>
            <w:r w:rsidRPr="00DE591F">
              <w:rPr>
                <w:b/>
              </w:rPr>
              <w:t>Natty Daddy</w:t>
            </w:r>
          </w:p>
        </w:tc>
        <w:tc>
          <w:tcPr>
            <w:tcW w:w="1708" w:type="dxa"/>
          </w:tcPr>
          <w:p w:rsidR="000E4278" w:rsidRPr="00DE591F" w:rsidRDefault="000E4278" w:rsidP="000E4278">
            <w:pPr>
              <w:pStyle w:val="PMOBody"/>
              <w:ind w:left="0"/>
              <w:jc w:val="center"/>
              <w:rPr>
                <w:b/>
              </w:rPr>
            </w:pPr>
            <w:r w:rsidRPr="00DE591F">
              <w:rPr>
                <w:b/>
              </w:rPr>
              <w:t>8%</w:t>
            </w:r>
          </w:p>
        </w:tc>
      </w:tr>
      <w:tr w:rsidR="000E4278" w:rsidRPr="00490CAA" w:rsidTr="000E4278">
        <w:trPr>
          <w:cantSplit/>
          <w:jc w:val="center"/>
        </w:trPr>
        <w:tc>
          <w:tcPr>
            <w:tcW w:w="2792" w:type="dxa"/>
          </w:tcPr>
          <w:p w:rsidR="000E4278" w:rsidRPr="00AC5AE8" w:rsidRDefault="000E4278" w:rsidP="000E4278">
            <w:pPr>
              <w:pStyle w:val="PMOBody"/>
              <w:ind w:left="0"/>
              <w:rPr>
                <w:b/>
              </w:rPr>
            </w:pPr>
            <w:r>
              <w:rPr>
                <w:b/>
              </w:rPr>
              <w:t>Anheuser Busch Inc</w:t>
            </w:r>
          </w:p>
        </w:tc>
        <w:tc>
          <w:tcPr>
            <w:tcW w:w="3273" w:type="dxa"/>
          </w:tcPr>
          <w:p w:rsidR="000E4278" w:rsidRPr="00AC5AE8" w:rsidRDefault="000E4278" w:rsidP="000E4278">
            <w:pPr>
              <w:pStyle w:val="PMOBody"/>
              <w:ind w:left="0"/>
              <w:rPr>
                <w:b/>
              </w:rPr>
            </w:pPr>
            <w:r w:rsidRPr="00AC5AE8">
              <w:rPr>
                <w:b/>
              </w:rPr>
              <w:t>Natural Ice</w:t>
            </w:r>
          </w:p>
        </w:tc>
        <w:tc>
          <w:tcPr>
            <w:tcW w:w="1708" w:type="dxa"/>
          </w:tcPr>
          <w:p w:rsidR="000E4278" w:rsidRPr="00AC5AE8" w:rsidRDefault="000E4278" w:rsidP="000E4278">
            <w:pPr>
              <w:pStyle w:val="PMOBody"/>
              <w:ind w:left="0"/>
              <w:jc w:val="center"/>
              <w:rPr>
                <w:b/>
              </w:rPr>
            </w:pPr>
            <w:r w:rsidRPr="00AC5AE8">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 xml:space="preserve">Joseph Schlitz Brewing </w:t>
            </w:r>
          </w:p>
        </w:tc>
        <w:tc>
          <w:tcPr>
            <w:tcW w:w="3273" w:type="dxa"/>
          </w:tcPr>
          <w:p w:rsidR="000E4278" w:rsidRDefault="000E4278" w:rsidP="000E4278">
            <w:pPr>
              <w:pStyle w:val="PMOBody"/>
              <w:ind w:left="0"/>
              <w:rPr>
                <w:b/>
              </w:rPr>
            </w:pPr>
            <w:r w:rsidRPr="00BB4A99">
              <w:rPr>
                <w:b/>
              </w:rPr>
              <w:t>Old Milwaukee Ice</w:t>
            </w:r>
          </w:p>
          <w:p w:rsidR="000E4278" w:rsidRPr="00BB4A99" w:rsidRDefault="000E4278" w:rsidP="000E4278">
            <w:pPr>
              <w:pStyle w:val="PMOBody"/>
              <w:ind w:left="0"/>
              <w:rPr>
                <w:b/>
              </w:rPr>
            </w:pPr>
            <w:r>
              <w:rPr>
                <w:b/>
              </w:rPr>
              <w:t>(all products)</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MillerCoors</w:t>
            </w:r>
          </w:p>
        </w:tc>
        <w:tc>
          <w:tcPr>
            <w:tcW w:w="3273" w:type="dxa"/>
          </w:tcPr>
          <w:p w:rsidR="000E4278" w:rsidRDefault="000E4278" w:rsidP="000E4278">
            <w:pPr>
              <w:pStyle w:val="PMOBody"/>
              <w:ind w:left="0"/>
              <w:rPr>
                <w:b/>
              </w:rPr>
            </w:pPr>
            <w:r w:rsidRPr="00BB4A99">
              <w:rPr>
                <w:b/>
              </w:rPr>
              <w:t>Olde English 800</w:t>
            </w:r>
          </w:p>
          <w:p w:rsidR="000E4278" w:rsidRPr="00BB4A99" w:rsidRDefault="000E4278" w:rsidP="000E4278">
            <w:pPr>
              <w:pStyle w:val="PMOBody"/>
              <w:ind w:left="0"/>
              <w:rPr>
                <w:b/>
              </w:rPr>
            </w:pPr>
            <w:r w:rsidRPr="00BB4A99">
              <w:rPr>
                <w:b/>
              </w:rPr>
              <w:t xml:space="preserve">(all </w:t>
            </w:r>
            <w:r>
              <w:rPr>
                <w:b/>
              </w:rPr>
              <w:t>p</w:t>
            </w:r>
            <w:r w:rsidRPr="00BB4A99">
              <w:rPr>
                <w:b/>
              </w:rPr>
              <w:t>roducts)</w:t>
            </w:r>
          </w:p>
        </w:tc>
        <w:tc>
          <w:tcPr>
            <w:tcW w:w="1708" w:type="dxa"/>
          </w:tcPr>
          <w:p w:rsidR="000E4278" w:rsidRPr="00BB4A99" w:rsidRDefault="000E4278" w:rsidP="000E4278">
            <w:pPr>
              <w:pStyle w:val="PMOBody"/>
              <w:ind w:left="0"/>
              <w:jc w:val="center"/>
              <w:rPr>
                <w:b/>
              </w:rPr>
            </w:pPr>
            <w:r w:rsidRPr="00BB4A99">
              <w:rPr>
                <w:b/>
              </w:rPr>
              <w:t>7.5% - 8%</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 Co</w:t>
            </w:r>
          </w:p>
        </w:tc>
        <w:tc>
          <w:tcPr>
            <w:tcW w:w="3273" w:type="dxa"/>
          </w:tcPr>
          <w:p w:rsidR="000E4278" w:rsidRPr="00BB4A99" w:rsidRDefault="000E4278" w:rsidP="000E4278">
            <w:pPr>
              <w:pStyle w:val="PMOBody"/>
              <w:ind w:left="0"/>
              <w:rPr>
                <w:b/>
              </w:rPr>
            </w:pPr>
            <w:r w:rsidRPr="00BB4A99">
              <w:rPr>
                <w:b/>
              </w:rPr>
              <w:t>Olympia Ice</w:t>
            </w:r>
          </w:p>
        </w:tc>
        <w:tc>
          <w:tcPr>
            <w:tcW w:w="1708" w:type="dxa"/>
          </w:tcPr>
          <w:p w:rsidR="000E4278" w:rsidRPr="00BB4A99" w:rsidRDefault="000E4278" w:rsidP="000E4278">
            <w:pPr>
              <w:pStyle w:val="PMOBody"/>
              <w:ind w:left="0"/>
              <w:jc w:val="center"/>
              <w:rPr>
                <w:b/>
              </w:rPr>
            </w:pPr>
            <w:r w:rsidRPr="00BB4A99">
              <w:rPr>
                <w:b/>
              </w:rPr>
              <w:t>6.1%</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 Co</w:t>
            </w:r>
          </w:p>
        </w:tc>
        <w:tc>
          <w:tcPr>
            <w:tcW w:w="3273" w:type="dxa"/>
          </w:tcPr>
          <w:p w:rsidR="000E4278" w:rsidRPr="00BB4A99" w:rsidRDefault="000E4278" w:rsidP="000E4278">
            <w:pPr>
              <w:pStyle w:val="PMOBody"/>
              <w:ind w:left="0"/>
              <w:rPr>
                <w:b/>
              </w:rPr>
            </w:pPr>
            <w:r w:rsidRPr="00BB4A99">
              <w:rPr>
                <w:b/>
              </w:rPr>
              <w:t>Pabst Ice</w:t>
            </w:r>
            <w:r>
              <w:rPr>
                <w:b/>
              </w:rPr>
              <w:t xml:space="preserve"> Ale</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 Co</w:t>
            </w:r>
          </w:p>
        </w:tc>
        <w:tc>
          <w:tcPr>
            <w:tcW w:w="3273" w:type="dxa"/>
          </w:tcPr>
          <w:p w:rsidR="000E4278" w:rsidRPr="00BB4A99" w:rsidRDefault="000E4278" w:rsidP="000E4278">
            <w:pPr>
              <w:pStyle w:val="PMOBody"/>
              <w:ind w:left="0"/>
              <w:rPr>
                <w:b/>
              </w:rPr>
            </w:pPr>
            <w:r w:rsidRPr="00BB4A99">
              <w:rPr>
                <w:b/>
              </w:rPr>
              <w:t>Rainier Ice</w:t>
            </w:r>
          </w:p>
        </w:tc>
        <w:tc>
          <w:tcPr>
            <w:tcW w:w="1708" w:type="dxa"/>
          </w:tcPr>
          <w:p w:rsidR="000E4278" w:rsidRPr="00BB4A99" w:rsidRDefault="000E4278" w:rsidP="000E4278">
            <w:pPr>
              <w:pStyle w:val="PMOBody"/>
              <w:ind w:left="0"/>
              <w:jc w:val="center"/>
              <w:rPr>
                <w:b/>
              </w:rPr>
            </w:pPr>
            <w:r w:rsidRPr="00BB4A99">
              <w:rPr>
                <w:b/>
              </w:rPr>
              <w:t>5.9%</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Stroh Brewing Co</w:t>
            </w:r>
          </w:p>
        </w:tc>
        <w:tc>
          <w:tcPr>
            <w:tcW w:w="3273" w:type="dxa"/>
          </w:tcPr>
          <w:p w:rsidR="000E4278" w:rsidRPr="00BB4A99" w:rsidRDefault="000E4278" w:rsidP="000E4278">
            <w:pPr>
              <w:pStyle w:val="PMOBody"/>
              <w:ind w:left="0"/>
              <w:rPr>
                <w:b/>
              </w:rPr>
            </w:pPr>
            <w:r w:rsidRPr="00BB4A99">
              <w:rPr>
                <w:b/>
              </w:rPr>
              <w:t>Red Bull Malt Liquor</w:t>
            </w:r>
          </w:p>
        </w:tc>
        <w:tc>
          <w:tcPr>
            <w:tcW w:w="1708" w:type="dxa"/>
          </w:tcPr>
          <w:p w:rsidR="000E4278" w:rsidRPr="00BB4A99" w:rsidRDefault="000E4278" w:rsidP="000E4278">
            <w:pPr>
              <w:pStyle w:val="PMOBody"/>
              <w:ind w:left="0"/>
              <w:jc w:val="center"/>
              <w:rPr>
                <w:b/>
              </w:rPr>
            </w:pPr>
            <w:r w:rsidRPr="00BB4A99">
              <w:rPr>
                <w:b/>
              </w:rPr>
              <w:t>7%</w:t>
            </w:r>
          </w:p>
        </w:tc>
      </w:tr>
      <w:tr w:rsidR="000E4278" w:rsidRPr="00490CAA" w:rsidTr="000E4278">
        <w:trPr>
          <w:cantSplit/>
          <w:jc w:val="center"/>
        </w:trPr>
        <w:tc>
          <w:tcPr>
            <w:tcW w:w="2792" w:type="dxa"/>
          </w:tcPr>
          <w:p w:rsidR="000E4278" w:rsidRPr="00AC5AE8" w:rsidRDefault="000E4278" w:rsidP="000E4278">
            <w:pPr>
              <w:pStyle w:val="PMOBody"/>
              <w:ind w:left="0"/>
              <w:rPr>
                <w:b/>
              </w:rPr>
            </w:pPr>
            <w:r>
              <w:rPr>
                <w:b/>
              </w:rPr>
              <w:t>Diageo-Guinness USA</w:t>
            </w:r>
          </w:p>
        </w:tc>
        <w:tc>
          <w:tcPr>
            <w:tcW w:w="3273" w:type="dxa"/>
          </w:tcPr>
          <w:p w:rsidR="000E4278" w:rsidRPr="00AC5AE8" w:rsidRDefault="000E4278" w:rsidP="000E4278">
            <w:pPr>
              <w:pStyle w:val="PMOBody"/>
              <w:ind w:left="0"/>
              <w:rPr>
                <w:b/>
              </w:rPr>
            </w:pPr>
            <w:r w:rsidRPr="00AC5AE8">
              <w:rPr>
                <w:b/>
              </w:rPr>
              <w:t>Smirnoff XBT</w:t>
            </w:r>
          </w:p>
        </w:tc>
        <w:tc>
          <w:tcPr>
            <w:tcW w:w="1708" w:type="dxa"/>
          </w:tcPr>
          <w:p w:rsidR="000E4278" w:rsidRPr="00AC5AE8" w:rsidRDefault="000E4278" w:rsidP="000E4278">
            <w:pPr>
              <w:pStyle w:val="PMOBody"/>
              <w:ind w:left="0"/>
              <w:jc w:val="center"/>
              <w:rPr>
                <w:b/>
              </w:rPr>
            </w:pPr>
            <w:r w:rsidRPr="00AC5AE8">
              <w:rPr>
                <w:b/>
              </w:rPr>
              <w:t>8%</w:t>
            </w:r>
          </w:p>
        </w:tc>
      </w:tr>
      <w:tr w:rsidR="000E4278" w:rsidRPr="00490CAA" w:rsidTr="000E4278">
        <w:trPr>
          <w:cantSplit/>
          <w:jc w:val="center"/>
        </w:trPr>
        <w:tc>
          <w:tcPr>
            <w:tcW w:w="2792" w:type="dxa"/>
          </w:tcPr>
          <w:p w:rsidR="000E4278" w:rsidRPr="00AC5AE8" w:rsidRDefault="000E4278" w:rsidP="000E4278">
            <w:pPr>
              <w:pStyle w:val="PMOBody"/>
              <w:ind w:left="0"/>
              <w:rPr>
                <w:b/>
              </w:rPr>
            </w:pPr>
            <w:r>
              <w:rPr>
                <w:b/>
              </w:rPr>
              <w:t>Pabst Brewing Co</w:t>
            </w:r>
          </w:p>
        </w:tc>
        <w:tc>
          <w:tcPr>
            <w:tcW w:w="3273" w:type="dxa"/>
          </w:tcPr>
          <w:p w:rsidR="000E4278" w:rsidRDefault="000E4278" w:rsidP="000E4278">
            <w:pPr>
              <w:pStyle w:val="PMOBody"/>
              <w:ind w:left="0"/>
              <w:rPr>
                <w:b/>
              </w:rPr>
            </w:pPr>
            <w:r w:rsidRPr="00AC5AE8">
              <w:rPr>
                <w:b/>
              </w:rPr>
              <w:t>Schlitz Malt Liquor</w:t>
            </w:r>
          </w:p>
          <w:p w:rsidR="000E4278" w:rsidRPr="00AC5AE8" w:rsidRDefault="000E4278" w:rsidP="000E4278">
            <w:pPr>
              <w:pStyle w:val="PMOBody"/>
              <w:ind w:left="0"/>
              <w:rPr>
                <w:b/>
              </w:rPr>
            </w:pPr>
            <w:r>
              <w:rPr>
                <w:b/>
              </w:rPr>
              <w:t>(all products)</w:t>
            </w:r>
          </w:p>
        </w:tc>
        <w:tc>
          <w:tcPr>
            <w:tcW w:w="1708" w:type="dxa"/>
          </w:tcPr>
          <w:p w:rsidR="000E4278" w:rsidRPr="00AC5AE8" w:rsidRDefault="000E4278" w:rsidP="000E4278">
            <w:pPr>
              <w:pStyle w:val="PMOBody"/>
              <w:ind w:left="0"/>
              <w:jc w:val="center"/>
              <w:rPr>
                <w:b/>
              </w:rPr>
            </w:pPr>
            <w:r>
              <w:rPr>
                <w:b/>
              </w:rPr>
              <w:t>5.9</w:t>
            </w:r>
            <w:r w:rsidRPr="00AC5AE8">
              <w:rPr>
                <w:b/>
              </w:rPr>
              <w:t>%</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Pabst Brewing Co</w:t>
            </w:r>
          </w:p>
        </w:tc>
        <w:tc>
          <w:tcPr>
            <w:tcW w:w="3273" w:type="dxa"/>
          </w:tcPr>
          <w:p w:rsidR="000E4278" w:rsidRPr="00BB4A99" w:rsidRDefault="000E4278" w:rsidP="000E4278">
            <w:pPr>
              <w:pStyle w:val="PMOBody"/>
              <w:ind w:left="0"/>
              <w:rPr>
                <w:b/>
              </w:rPr>
            </w:pPr>
            <w:r w:rsidRPr="00BB4A99">
              <w:rPr>
                <w:b/>
              </w:rPr>
              <w:t>Schlitz High Gravity</w:t>
            </w:r>
          </w:p>
        </w:tc>
        <w:tc>
          <w:tcPr>
            <w:tcW w:w="1708" w:type="dxa"/>
          </w:tcPr>
          <w:p w:rsidR="000E4278" w:rsidRPr="00BB4A99" w:rsidRDefault="000E4278" w:rsidP="000E4278">
            <w:pPr>
              <w:pStyle w:val="PMOBody"/>
              <w:ind w:left="0"/>
              <w:jc w:val="center"/>
              <w:rPr>
                <w:b/>
              </w:rPr>
            </w:pPr>
            <w:r w:rsidRPr="00BB4A99">
              <w:rPr>
                <w:b/>
              </w:rPr>
              <w:t>8.5%</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Steel Brewing Co</w:t>
            </w:r>
          </w:p>
        </w:tc>
        <w:tc>
          <w:tcPr>
            <w:tcW w:w="3273" w:type="dxa"/>
          </w:tcPr>
          <w:p w:rsidR="000E4278" w:rsidRPr="00BB4A99" w:rsidRDefault="000E4278" w:rsidP="000E4278">
            <w:pPr>
              <w:pStyle w:val="PMOBody"/>
              <w:ind w:left="0"/>
              <w:rPr>
                <w:b/>
              </w:rPr>
            </w:pPr>
            <w:r w:rsidRPr="00BB4A99">
              <w:rPr>
                <w:b/>
              </w:rPr>
              <w:t>Sparks</w:t>
            </w:r>
            <w:r>
              <w:rPr>
                <w:b/>
              </w:rPr>
              <w:t xml:space="preserve"> (all products)</w:t>
            </w:r>
          </w:p>
        </w:tc>
        <w:tc>
          <w:tcPr>
            <w:tcW w:w="1708" w:type="dxa"/>
          </w:tcPr>
          <w:p w:rsidR="000E4278" w:rsidRPr="00BB4A99" w:rsidRDefault="000E4278" w:rsidP="000E4278">
            <w:pPr>
              <w:pStyle w:val="PMOBody"/>
              <w:ind w:left="0"/>
              <w:jc w:val="center"/>
              <w:rPr>
                <w:b/>
              </w:rPr>
            </w:pPr>
            <w:r w:rsidRPr="00BB4A99">
              <w:rPr>
                <w:b/>
              </w:rPr>
              <w:t>6% - 8%</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lastRenderedPageBreak/>
              <w:t>MillerCoors</w:t>
            </w:r>
          </w:p>
        </w:tc>
        <w:tc>
          <w:tcPr>
            <w:tcW w:w="3273" w:type="dxa"/>
          </w:tcPr>
          <w:p w:rsidR="000E4278" w:rsidRDefault="000E4278" w:rsidP="000E4278">
            <w:pPr>
              <w:pStyle w:val="PMOBody"/>
              <w:ind w:left="0"/>
              <w:rPr>
                <w:b/>
              </w:rPr>
            </w:pPr>
            <w:r w:rsidRPr="00BB4A99">
              <w:rPr>
                <w:b/>
              </w:rPr>
              <w:t>Special 800 Reserve</w:t>
            </w:r>
          </w:p>
          <w:p w:rsidR="000E4278" w:rsidRPr="00BB4A99" w:rsidRDefault="000E4278" w:rsidP="000E4278">
            <w:pPr>
              <w:pStyle w:val="PMOBody"/>
              <w:ind w:left="0"/>
              <w:rPr>
                <w:b/>
              </w:rPr>
            </w:pPr>
            <w:r w:rsidRPr="00BB4A99">
              <w:rPr>
                <w:b/>
              </w:rPr>
              <w:t>(all flavors)</w:t>
            </w:r>
          </w:p>
        </w:tc>
        <w:tc>
          <w:tcPr>
            <w:tcW w:w="1708" w:type="dxa"/>
          </w:tcPr>
          <w:p w:rsidR="000E4278" w:rsidRPr="00BB4A99" w:rsidRDefault="000E4278" w:rsidP="000E4278">
            <w:pPr>
              <w:pStyle w:val="PMOBody"/>
              <w:ind w:left="0"/>
              <w:jc w:val="center"/>
              <w:rPr>
                <w:b/>
              </w:rPr>
            </w:pPr>
            <w:r w:rsidRPr="00BB4A99">
              <w:rPr>
                <w:b/>
              </w:rPr>
              <w:t>6%</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 xml:space="preserve">Saint Ides Brewing </w:t>
            </w:r>
          </w:p>
        </w:tc>
        <w:tc>
          <w:tcPr>
            <w:tcW w:w="3273" w:type="dxa"/>
          </w:tcPr>
          <w:p w:rsidR="000E4278" w:rsidRPr="00BB4A99" w:rsidRDefault="000E4278" w:rsidP="000E4278">
            <w:pPr>
              <w:pStyle w:val="PMOBody"/>
              <w:ind w:left="0"/>
              <w:rPr>
                <w:b/>
              </w:rPr>
            </w:pPr>
            <w:r w:rsidRPr="00BB4A99">
              <w:rPr>
                <w:b/>
              </w:rPr>
              <w:t>St. Ide’s Liquor and Special Brews (all flavors)</w:t>
            </w:r>
          </w:p>
        </w:tc>
        <w:tc>
          <w:tcPr>
            <w:tcW w:w="1708" w:type="dxa"/>
          </w:tcPr>
          <w:p w:rsidR="000E4278" w:rsidRPr="00BB4A99" w:rsidRDefault="000E4278" w:rsidP="000E4278">
            <w:pPr>
              <w:pStyle w:val="PMOBody"/>
              <w:ind w:left="0"/>
              <w:jc w:val="center"/>
              <w:rPr>
                <w:b/>
              </w:rPr>
            </w:pPr>
            <w:r w:rsidRPr="00BB4A99">
              <w:rPr>
                <w:b/>
              </w:rPr>
              <w:t>6% - 7.3%</w:t>
            </w:r>
          </w:p>
        </w:tc>
      </w:tr>
      <w:tr w:rsidR="000E4278" w:rsidRPr="00490CAA" w:rsidTr="000E4278">
        <w:trPr>
          <w:cantSplit/>
          <w:jc w:val="center"/>
        </w:trPr>
        <w:tc>
          <w:tcPr>
            <w:tcW w:w="2792" w:type="dxa"/>
          </w:tcPr>
          <w:p w:rsidR="000E4278" w:rsidRPr="00DE591F" w:rsidRDefault="000E4278" w:rsidP="000E4278">
            <w:pPr>
              <w:pStyle w:val="PMOBody"/>
              <w:ind w:left="0"/>
              <w:rPr>
                <w:b/>
              </w:rPr>
            </w:pPr>
            <w:r w:rsidRPr="00DE591F">
              <w:rPr>
                <w:b/>
              </w:rPr>
              <w:t>United Brands Co</w:t>
            </w:r>
          </w:p>
        </w:tc>
        <w:tc>
          <w:tcPr>
            <w:tcW w:w="3273" w:type="dxa"/>
          </w:tcPr>
          <w:p w:rsidR="000E4278" w:rsidRPr="00DE591F" w:rsidRDefault="000E4278" w:rsidP="000E4278">
            <w:pPr>
              <w:pStyle w:val="PMOBody"/>
              <w:ind w:left="0"/>
              <w:rPr>
                <w:b/>
              </w:rPr>
            </w:pPr>
            <w:r w:rsidRPr="00DE591F">
              <w:rPr>
                <w:b/>
              </w:rPr>
              <w:t>Stack High Gravity Lager</w:t>
            </w:r>
          </w:p>
        </w:tc>
        <w:tc>
          <w:tcPr>
            <w:tcW w:w="1708" w:type="dxa"/>
          </w:tcPr>
          <w:p w:rsidR="000E4278" w:rsidRPr="00DE591F" w:rsidRDefault="000E4278" w:rsidP="000E4278">
            <w:pPr>
              <w:pStyle w:val="PMOBody"/>
              <w:ind w:left="0"/>
              <w:jc w:val="center"/>
              <w:rPr>
                <w:b/>
              </w:rPr>
            </w:pPr>
            <w:r w:rsidRPr="00DE591F">
              <w:rPr>
                <w:b/>
              </w:rPr>
              <w:t>12%</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MillerCoors</w:t>
            </w:r>
          </w:p>
        </w:tc>
        <w:tc>
          <w:tcPr>
            <w:tcW w:w="3273" w:type="dxa"/>
          </w:tcPr>
          <w:p w:rsidR="000E4278" w:rsidRPr="00BB4A99" w:rsidRDefault="000E4278" w:rsidP="000E4278">
            <w:pPr>
              <w:pStyle w:val="PMOBody"/>
              <w:ind w:left="0"/>
              <w:rPr>
                <w:b/>
              </w:rPr>
            </w:pPr>
            <w:r w:rsidRPr="00BB4A99">
              <w:rPr>
                <w:b/>
              </w:rPr>
              <w:t>Steel Reserve (all products)</w:t>
            </w:r>
          </w:p>
        </w:tc>
        <w:tc>
          <w:tcPr>
            <w:tcW w:w="1708" w:type="dxa"/>
          </w:tcPr>
          <w:p w:rsidR="000E4278" w:rsidRPr="00BB4A99" w:rsidRDefault="000E4278" w:rsidP="000E4278">
            <w:pPr>
              <w:pStyle w:val="PMOBody"/>
              <w:ind w:left="0"/>
              <w:jc w:val="center"/>
              <w:rPr>
                <w:b/>
              </w:rPr>
            </w:pPr>
            <w:r w:rsidRPr="00BB4A99">
              <w:rPr>
                <w:b/>
              </w:rPr>
              <w:t>5.5% - 8%</w:t>
            </w:r>
          </w:p>
        </w:tc>
      </w:tr>
      <w:tr w:rsidR="000E4278" w:rsidRPr="00490CAA" w:rsidTr="000E4278">
        <w:trPr>
          <w:cantSplit/>
          <w:jc w:val="center"/>
        </w:trPr>
        <w:tc>
          <w:tcPr>
            <w:tcW w:w="2792" w:type="dxa"/>
          </w:tcPr>
          <w:p w:rsidR="000E4278" w:rsidRPr="00BB4A99" w:rsidRDefault="000E4278" w:rsidP="000E4278">
            <w:pPr>
              <w:pStyle w:val="PMOBody"/>
              <w:ind w:left="0"/>
              <w:rPr>
                <w:b/>
              </w:rPr>
            </w:pPr>
            <w:r>
              <w:rPr>
                <w:b/>
              </w:rPr>
              <w:t>Anheuser-Busch Inc</w:t>
            </w:r>
          </w:p>
        </w:tc>
        <w:tc>
          <w:tcPr>
            <w:tcW w:w="3273" w:type="dxa"/>
          </w:tcPr>
          <w:p w:rsidR="000E4278" w:rsidRPr="00BB4A99" w:rsidRDefault="000E4278" w:rsidP="000E4278">
            <w:pPr>
              <w:pStyle w:val="PMOBody"/>
              <w:ind w:left="0"/>
              <w:rPr>
                <w:b/>
              </w:rPr>
            </w:pPr>
            <w:r w:rsidRPr="00BB4A99">
              <w:rPr>
                <w:b/>
              </w:rPr>
              <w:t>Tilt</w:t>
            </w:r>
            <w:r>
              <w:rPr>
                <w:b/>
              </w:rPr>
              <w:t xml:space="preserve"> (all products)</w:t>
            </w:r>
          </w:p>
        </w:tc>
        <w:tc>
          <w:tcPr>
            <w:tcW w:w="1708" w:type="dxa"/>
          </w:tcPr>
          <w:p w:rsidR="000E4278" w:rsidRPr="00BB4A99" w:rsidRDefault="000E4278" w:rsidP="000E4278">
            <w:pPr>
              <w:pStyle w:val="PMOBody"/>
              <w:ind w:left="0"/>
              <w:jc w:val="center"/>
              <w:rPr>
                <w:b/>
              </w:rPr>
            </w:pPr>
            <w:r w:rsidRPr="00BB4A99">
              <w:rPr>
                <w:b/>
              </w:rPr>
              <w:t>6.6% - 8%</w:t>
            </w:r>
          </w:p>
        </w:tc>
      </w:tr>
      <w:tr w:rsidR="000E4278" w:rsidRPr="00490CAA" w:rsidTr="000E4278">
        <w:trPr>
          <w:cantSplit/>
          <w:jc w:val="center"/>
        </w:trPr>
        <w:tc>
          <w:tcPr>
            <w:tcW w:w="2792" w:type="dxa"/>
          </w:tcPr>
          <w:p w:rsidR="000E4278" w:rsidRPr="00DE591F" w:rsidRDefault="000E4278" w:rsidP="000E4278">
            <w:pPr>
              <w:pStyle w:val="PMOBody"/>
              <w:ind w:left="0"/>
              <w:rPr>
                <w:b/>
              </w:rPr>
            </w:pPr>
            <w:r w:rsidRPr="00DE591F">
              <w:rPr>
                <w:b/>
              </w:rPr>
              <w:t>Vampt Beverage Corp</w:t>
            </w:r>
          </w:p>
        </w:tc>
        <w:tc>
          <w:tcPr>
            <w:tcW w:w="3273" w:type="dxa"/>
          </w:tcPr>
          <w:p w:rsidR="000E4278" w:rsidRPr="00DE591F" w:rsidRDefault="000E4278" w:rsidP="000E4278">
            <w:pPr>
              <w:pStyle w:val="PMOBody"/>
              <w:ind w:left="0"/>
              <w:rPr>
                <w:b/>
              </w:rPr>
            </w:pPr>
            <w:r w:rsidRPr="00DE591F">
              <w:rPr>
                <w:b/>
              </w:rPr>
              <w:t>Vampt Smooth Talker</w:t>
            </w:r>
          </w:p>
        </w:tc>
        <w:tc>
          <w:tcPr>
            <w:tcW w:w="1708" w:type="dxa"/>
          </w:tcPr>
          <w:p w:rsidR="000E4278" w:rsidRPr="00DE591F" w:rsidRDefault="000E4278" w:rsidP="000E4278">
            <w:pPr>
              <w:pStyle w:val="PMOBody"/>
              <w:ind w:left="0"/>
              <w:jc w:val="center"/>
              <w:rPr>
                <w:b/>
              </w:rPr>
            </w:pPr>
            <w:r w:rsidRPr="00DE591F">
              <w:rPr>
                <w:b/>
              </w:rPr>
              <w:t>8%</w:t>
            </w:r>
          </w:p>
        </w:tc>
      </w:tr>
      <w:tr w:rsidR="000E4278" w:rsidRPr="00490CAA" w:rsidTr="000E4278">
        <w:trPr>
          <w:cantSplit/>
          <w:jc w:val="center"/>
        </w:trPr>
        <w:tc>
          <w:tcPr>
            <w:tcW w:w="2792" w:type="dxa"/>
          </w:tcPr>
          <w:p w:rsidR="000E4278" w:rsidRPr="00DE591F" w:rsidRDefault="000E4278" w:rsidP="000E4278">
            <w:pPr>
              <w:pStyle w:val="PMOBody"/>
              <w:ind w:left="0"/>
              <w:rPr>
                <w:b/>
              </w:rPr>
            </w:pPr>
            <w:r w:rsidRPr="00DE591F">
              <w:rPr>
                <w:b/>
              </w:rPr>
              <w:t>Vampt Beverage Corp</w:t>
            </w:r>
          </w:p>
        </w:tc>
        <w:tc>
          <w:tcPr>
            <w:tcW w:w="3273" w:type="dxa"/>
          </w:tcPr>
          <w:p w:rsidR="000E4278" w:rsidRPr="00DE591F" w:rsidRDefault="000E4278" w:rsidP="000E4278">
            <w:pPr>
              <w:pStyle w:val="PMOBody"/>
              <w:ind w:left="0"/>
              <w:rPr>
                <w:b/>
              </w:rPr>
            </w:pPr>
            <w:r w:rsidRPr="00DE591F">
              <w:rPr>
                <w:b/>
              </w:rPr>
              <w:t>Vampt Midnight Warrior</w:t>
            </w:r>
          </w:p>
        </w:tc>
        <w:tc>
          <w:tcPr>
            <w:tcW w:w="1708" w:type="dxa"/>
          </w:tcPr>
          <w:p w:rsidR="000E4278" w:rsidRPr="00DE591F" w:rsidRDefault="000E4278" w:rsidP="000E4278">
            <w:pPr>
              <w:pStyle w:val="PMOBody"/>
              <w:ind w:left="0"/>
              <w:jc w:val="center"/>
              <w:rPr>
                <w:b/>
              </w:rPr>
            </w:pPr>
            <w:r w:rsidRPr="00DE591F">
              <w:rPr>
                <w:b/>
              </w:rPr>
              <w:t>8%</w:t>
            </w:r>
          </w:p>
        </w:tc>
      </w:tr>
    </w:tbl>
    <w:p w:rsidR="002E09C9" w:rsidRDefault="002E09C9" w:rsidP="00B9159F">
      <w:pPr>
        <w:pStyle w:val="Header"/>
        <w:rPr>
          <w:szCs w:val="20"/>
          <w:lang w:val="fr-FR"/>
        </w:rPr>
      </w:pPr>
    </w:p>
    <w:p w:rsidR="002A6F78" w:rsidRDefault="002A6F78">
      <w:pPr>
        <w:rPr>
          <w:szCs w:val="20"/>
          <w:lang w:val="fr-FR"/>
        </w:rPr>
      </w:pPr>
    </w:p>
    <w:p w:rsidR="002A6F78" w:rsidRDefault="002A6F78" w:rsidP="00B9159F">
      <w:pPr>
        <w:pStyle w:val="Header"/>
        <w:rPr>
          <w:szCs w:val="20"/>
          <w:lang w:val="fr-FR"/>
        </w:rPr>
      </w:pPr>
    </w:p>
    <w:sectPr w:rsidR="002A6F78" w:rsidSect="002A6F7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B5" w:rsidRDefault="00365DB5">
      <w:r>
        <w:separator/>
      </w:r>
    </w:p>
  </w:endnote>
  <w:endnote w:type="continuationSeparator" w:id="0">
    <w:p w:rsidR="00365DB5" w:rsidRDefault="00365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5" w:rsidRDefault="00365D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176"/>
      <w:docPartObj>
        <w:docPartGallery w:val="Page Numbers (Bottom of Page)"/>
        <w:docPartUnique/>
      </w:docPartObj>
    </w:sdtPr>
    <w:sdtContent>
      <w:p w:rsidR="00365DB5" w:rsidRDefault="00363073">
        <w:pPr>
          <w:pStyle w:val="Footer"/>
          <w:jc w:val="right"/>
        </w:pPr>
        <w:fldSimple w:instr=" PAGE   \* MERGEFORMAT ">
          <w:r w:rsidR="00804757">
            <w:rPr>
              <w:noProof/>
            </w:rPr>
            <w:t>7</w:t>
          </w:r>
        </w:fldSimple>
      </w:p>
    </w:sdtContent>
  </w:sdt>
  <w:p w:rsidR="00365DB5" w:rsidRDefault="00365DB5">
    <w:pPr>
      <w:pStyle w:val="Footer"/>
      <w:rPr>
        <w:rFonts w:asciiTheme="majorHAnsi" w:hAnsiTheme="maj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5" w:rsidRDefault="00365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B5" w:rsidRDefault="00365DB5">
      <w:r>
        <w:separator/>
      </w:r>
    </w:p>
  </w:footnote>
  <w:footnote w:type="continuationSeparator" w:id="0">
    <w:p w:rsidR="00365DB5" w:rsidRDefault="00365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5" w:rsidRDefault="00365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jc w:val="center"/>
      <w:tblLook w:val="04A0"/>
    </w:tblPr>
    <w:tblGrid>
      <w:gridCol w:w="5868"/>
      <w:gridCol w:w="3690"/>
    </w:tblGrid>
    <w:tr w:rsidR="00365DB5" w:rsidRPr="005801CD" w:rsidTr="000A2C89">
      <w:trPr>
        <w:jc w:val="center"/>
      </w:trPr>
      <w:tc>
        <w:tcPr>
          <w:tcW w:w="5868" w:type="dxa"/>
          <w:vAlign w:val="center"/>
        </w:tcPr>
        <w:p w:rsidR="00365DB5" w:rsidRPr="00B62EDF" w:rsidRDefault="00365DB5" w:rsidP="004038BA">
          <w:pPr>
            <w:pStyle w:val="Header"/>
          </w:pPr>
          <w:r>
            <w:rPr>
              <w:i/>
              <w:noProof/>
            </w:rPr>
            <w:drawing>
              <wp:inline distT="0" distB="0" distL="0" distR="0">
                <wp:extent cx="2328545" cy="425450"/>
                <wp:effectExtent l="19050" t="0" r="0" b="0"/>
                <wp:docPr id="3" name="Picture 1" descr="new logo-b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bw_3"/>
                        <pic:cNvPicPr>
                          <a:picLocks noChangeAspect="1" noChangeArrowheads="1"/>
                        </pic:cNvPicPr>
                      </pic:nvPicPr>
                      <pic:blipFill>
                        <a:blip r:embed="rId1"/>
                        <a:srcRect/>
                        <a:stretch>
                          <a:fillRect/>
                        </a:stretch>
                      </pic:blipFill>
                      <pic:spPr bwMode="auto">
                        <a:xfrm>
                          <a:off x="0" y="0"/>
                          <a:ext cx="2328545" cy="425450"/>
                        </a:xfrm>
                        <a:prstGeom prst="rect">
                          <a:avLst/>
                        </a:prstGeom>
                        <a:noFill/>
                        <a:ln w="9525">
                          <a:noFill/>
                          <a:miter lim="800000"/>
                          <a:headEnd/>
                          <a:tailEnd/>
                        </a:ln>
                      </pic:spPr>
                    </pic:pic>
                  </a:graphicData>
                </a:graphic>
              </wp:inline>
            </w:drawing>
          </w:r>
        </w:p>
      </w:tc>
      <w:tc>
        <w:tcPr>
          <w:tcW w:w="3690" w:type="dxa"/>
          <w:vAlign w:val="bottom"/>
        </w:tcPr>
        <w:p w:rsidR="00365DB5" w:rsidRPr="005801CD" w:rsidRDefault="00365DB5" w:rsidP="005801CD">
          <w:pPr>
            <w:pStyle w:val="Header"/>
            <w:tabs>
              <w:tab w:val="clear" w:pos="4320"/>
              <w:tab w:val="center" w:pos="4212"/>
            </w:tabs>
            <w:jc w:val="right"/>
            <w:rPr>
              <w:rFonts w:ascii="Calibri" w:hAnsi="Calibri"/>
              <w:b/>
              <w:sz w:val="28"/>
              <w:szCs w:val="28"/>
            </w:rPr>
          </w:pPr>
          <w:r>
            <w:rPr>
              <w:rFonts w:ascii="Calibri" w:hAnsi="Calibri"/>
              <w:b/>
              <w:sz w:val="28"/>
              <w:szCs w:val="28"/>
            </w:rPr>
            <w:t>Issue Paper</w:t>
          </w:r>
        </w:p>
      </w:tc>
    </w:tr>
  </w:tbl>
  <w:p w:rsidR="00365DB5" w:rsidRDefault="00365D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5" w:rsidRDefault="00365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1C0"/>
    <w:multiLevelType w:val="hybridMultilevel"/>
    <w:tmpl w:val="4B543D06"/>
    <w:lvl w:ilvl="0" w:tplc="3072D01A">
      <w:start w:val="1"/>
      <w:numFmt w:val="bullet"/>
      <w:lvlText w:val=""/>
      <w:lvlJc w:val="left"/>
      <w:pPr>
        <w:ind w:left="4571" w:hanging="360"/>
      </w:pPr>
      <w:rPr>
        <w:rFonts w:ascii="Symbol" w:hAnsi="Symbol" w:hint="default"/>
        <w:b w:val="0"/>
        <w:i w:val="0"/>
        <w:sz w:val="20"/>
      </w:rPr>
    </w:lvl>
    <w:lvl w:ilvl="1" w:tplc="3072D01A">
      <w:start w:val="1"/>
      <w:numFmt w:val="bullet"/>
      <w:lvlText w:val=""/>
      <w:lvlJc w:val="left"/>
      <w:pPr>
        <w:ind w:left="1440" w:hanging="360"/>
      </w:pPr>
      <w:rPr>
        <w:rFonts w:ascii="Symbol" w:hAnsi="Symbol" w:hint="default"/>
        <w:b w:val="0"/>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09E3"/>
    <w:multiLevelType w:val="multilevel"/>
    <w:tmpl w:val="089246E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55B7457"/>
    <w:multiLevelType w:val="hybridMultilevel"/>
    <w:tmpl w:val="DACC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F5021"/>
    <w:multiLevelType w:val="multilevel"/>
    <w:tmpl w:val="D952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B26F21"/>
    <w:multiLevelType w:val="hybridMultilevel"/>
    <w:tmpl w:val="2EEEB388"/>
    <w:lvl w:ilvl="0" w:tplc="6F4A040C">
      <w:start w:val="1"/>
      <w:numFmt w:val="bullet"/>
      <w:pStyle w:val="PMOBullet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E4610D"/>
    <w:multiLevelType w:val="hybridMultilevel"/>
    <w:tmpl w:val="A29CA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C745E"/>
    <w:multiLevelType w:val="hybridMultilevel"/>
    <w:tmpl w:val="BD421578"/>
    <w:lvl w:ilvl="0" w:tplc="A4AE52F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E9741C"/>
    <w:multiLevelType w:val="hybridMultilevel"/>
    <w:tmpl w:val="12B2A286"/>
    <w:lvl w:ilvl="0" w:tplc="9914FA7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1735DB"/>
    <w:multiLevelType w:val="hybridMultilevel"/>
    <w:tmpl w:val="C3FC1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A63330"/>
    <w:multiLevelType w:val="hybridMultilevel"/>
    <w:tmpl w:val="27C6586E"/>
    <w:lvl w:ilvl="0" w:tplc="9914FA78">
      <w:start w:val="1"/>
      <w:numFmt w:val="decimal"/>
      <w:pStyle w:val="PMO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75E90"/>
    <w:multiLevelType w:val="hybridMultilevel"/>
    <w:tmpl w:val="F12E3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9206E1"/>
    <w:multiLevelType w:val="hybridMultilevel"/>
    <w:tmpl w:val="E67A9B88"/>
    <w:lvl w:ilvl="0" w:tplc="3072D01A">
      <w:start w:val="1"/>
      <w:numFmt w:val="bullet"/>
      <w:lvlText w:val=""/>
      <w:lvlJc w:val="left"/>
      <w:pPr>
        <w:ind w:left="6832" w:hanging="360"/>
      </w:pPr>
      <w:rPr>
        <w:rFonts w:ascii="Symbol" w:hAnsi="Symbol" w:hint="default"/>
        <w:b w:val="0"/>
        <w:i w:val="0"/>
        <w:sz w:val="20"/>
      </w:rPr>
    </w:lvl>
    <w:lvl w:ilvl="1" w:tplc="04090003" w:tentative="1">
      <w:start w:val="1"/>
      <w:numFmt w:val="bullet"/>
      <w:lvlText w:val="o"/>
      <w:lvlJc w:val="left"/>
      <w:pPr>
        <w:ind w:left="7552" w:hanging="360"/>
      </w:pPr>
      <w:rPr>
        <w:rFonts w:ascii="Courier New" w:hAnsi="Courier New" w:cs="Courier New" w:hint="default"/>
      </w:rPr>
    </w:lvl>
    <w:lvl w:ilvl="2" w:tplc="04090005" w:tentative="1">
      <w:start w:val="1"/>
      <w:numFmt w:val="bullet"/>
      <w:lvlText w:val=""/>
      <w:lvlJc w:val="left"/>
      <w:pPr>
        <w:ind w:left="8272" w:hanging="360"/>
      </w:pPr>
      <w:rPr>
        <w:rFonts w:ascii="Wingdings" w:hAnsi="Wingdings" w:hint="default"/>
      </w:rPr>
    </w:lvl>
    <w:lvl w:ilvl="3" w:tplc="04090001" w:tentative="1">
      <w:start w:val="1"/>
      <w:numFmt w:val="bullet"/>
      <w:lvlText w:val=""/>
      <w:lvlJc w:val="left"/>
      <w:pPr>
        <w:ind w:left="8992" w:hanging="360"/>
      </w:pPr>
      <w:rPr>
        <w:rFonts w:ascii="Symbol" w:hAnsi="Symbol" w:hint="default"/>
      </w:rPr>
    </w:lvl>
    <w:lvl w:ilvl="4" w:tplc="04090003" w:tentative="1">
      <w:start w:val="1"/>
      <w:numFmt w:val="bullet"/>
      <w:lvlText w:val="o"/>
      <w:lvlJc w:val="left"/>
      <w:pPr>
        <w:ind w:left="9712" w:hanging="360"/>
      </w:pPr>
      <w:rPr>
        <w:rFonts w:ascii="Courier New" w:hAnsi="Courier New" w:cs="Courier New" w:hint="default"/>
      </w:rPr>
    </w:lvl>
    <w:lvl w:ilvl="5" w:tplc="04090005" w:tentative="1">
      <w:start w:val="1"/>
      <w:numFmt w:val="bullet"/>
      <w:lvlText w:val=""/>
      <w:lvlJc w:val="left"/>
      <w:pPr>
        <w:ind w:left="10432" w:hanging="360"/>
      </w:pPr>
      <w:rPr>
        <w:rFonts w:ascii="Wingdings" w:hAnsi="Wingdings" w:hint="default"/>
      </w:rPr>
    </w:lvl>
    <w:lvl w:ilvl="6" w:tplc="04090001" w:tentative="1">
      <w:start w:val="1"/>
      <w:numFmt w:val="bullet"/>
      <w:lvlText w:val=""/>
      <w:lvlJc w:val="left"/>
      <w:pPr>
        <w:ind w:left="11152" w:hanging="360"/>
      </w:pPr>
      <w:rPr>
        <w:rFonts w:ascii="Symbol" w:hAnsi="Symbol" w:hint="default"/>
      </w:rPr>
    </w:lvl>
    <w:lvl w:ilvl="7" w:tplc="04090003" w:tentative="1">
      <w:start w:val="1"/>
      <w:numFmt w:val="bullet"/>
      <w:lvlText w:val="o"/>
      <w:lvlJc w:val="left"/>
      <w:pPr>
        <w:ind w:left="11872" w:hanging="360"/>
      </w:pPr>
      <w:rPr>
        <w:rFonts w:ascii="Courier New" w:hAnsi="Courier New" w:cs="Courier New" w:hint="default"/>
      </w:rPr>
    </w:lvl>
    <w:lvl w:ilvl="8" w:tplc="04090005" w:tentative="1">
      <w:start w:val="1"/>
      <w:numFmt w:val="bullet"/>
      <w:lvlText w:val=""/>
      <w:lvlJc w:val="left"/>
      <w:pPr>
        <w:ind w:left="12592" w:hanging="360"/>
      </w:pPr>
      <w:rPr>
        <w:rFonts w:ascii="Wingdings" w:hAnsi="Wingdings" w:hint="default"/>
      </w:rPr>
    </w:lvl>
  </w:abstractNum>
  <w:abstractNum w:abstractNumId="12">
    <w:nsid w:val="56105B9A"/>
    <w:multiLevelType w:val="hybridMultilevel"/>
    <w:tmpl w:val="DAF441EE"/>
    <w:lvl w:ilvl="0" w:tplc="04090001">
      <w:start w:val="1"/>
      <w:numFmt w:val="bullet"/>
      <w:lvlText w:val=""/>
      <w:lvlJc w:val="left"/>
      <w:pPr>
        <w:ind w:left="4303" w:hanging="360"/>
      </w:pPr>
      <w:rPr>
        <w:rFonts w:ascii="Symbol" w:hAnsi="Symbol" w:hint="default"/>
      </w:rPr>
    </w:lvl>
    <w:lvl w:ilvl="1" w:tplc="04090003" w:tentative="1">
      <w:start w:val="1"/>
      <w:numFmt w:val="bullet"/>
      <w:lvlText w:val="o"/>
      <w:lvlJc w:val="left"/>
      <w:pPr>
        <w:ind w:left="5023" w:hanging="360"/>
      </w:pPr>
      <w:rPr>
        <w:rFonts w:ascii="Courier New" w:hAnsi="Courier New" w:cs="Courier New" w:hint="default"/>
      </w:rPr>
    </w:lvl>
    <w:lvl w:ilvl="2" w:tplc="04090005" w:tentative="1">
      <w:start w:val="1"/>
      <w:numFmt w:val="bullet"/>
      <w:lvlText w:val=""/>
      <w:lvlJc w:val="left"/>
      <w:pPr>
        <w:ind w:left="5743" w:hanging="360"/>
      </w:pPr>
      <w:rPr>
        <w:rFonts w:ascii="Wingdings" w:hAnsi="Wingdings" w:hint="default"/>
      </w:rPr>
    </w:lvl>
    <w:lvl w:ilvl="3" w:tplc="04090001" w:tentative="1">
      <w:start w:val="1"/>
      <w:numFmt w:val="bullet"/>
      <w:lvlText w:val=""/>
      <w:lvlJc w:val="left"/>
      <w:pPr>
        <w:ind w:left="6463" w:hanging="360"/>
      </w:pPr>
      <w:rPr>
        <w:rFonts w:ascii="Symbol" w:hAnsi="Symbol" w:hint="default"/>
      </w:rPr>
    </w:lvl>
    <w:lvl w:ilvl="4" w:tplc="04090003" w:tentative="1">
      <w:start w:val="1"/>
      <w:numFmt w:val="bullet"/>
      <w:lvlText w:val="o"/>
      <w:lvlJc w:val="left"/>
      <w:pPr>
        <w:ind w:left="7183" w:hanging="360"/>
      </w:pPr>
      <w:rPr>
        <w:rFonts w:ascii="Courier New" w:hAnsi="Courier New" w:cs="Courier New" w:hint="default"/>
      </w:rPr>
    </w:lvl>
    <w:lvl w:ilvl="5" w:tplc="04090005" w:tentative="1">
      <w:start w:val="1"/>
      <w:numFmt w:val="bullet"/>
      <w:lvlText w:val=""/>
      <w:lvlJc w:val="left"/>
      <w:pPr>
        <w:ind w:left="7903" w:hanging="360"/>
      </w:pPr>
      <w:rPr>
        <w:rFonts w:ascii="Wingdings" w:hAnsi="Wingdings" w:hint="default"/>
      </w:rPr>
    </w:lvl>
    <w:lvl w:ilvl="6" w:tplc="04090001" w:tentative="1">
      <w:start w:val="1"/>
      <w:numFmt w:val="bullet"/>
      <w:lvlText w:val=""/>
      <w:lvlJc w:val="left"/>
      <w:pPr>
        <w:ind w:left="8623" w:hanging="360"/>
      </w:pPr>
      <w:rPr>
        <w:rFonts w:ascii="Symbol" w:hAnsi="Symbol" w:hint="default"/>
      </w:rPr>
    </w:lvl>
    <w:lvl w:ilvl="7" w:tplc="04090003" w:tentative="1">
      <w:start w:val="1"/>
      <w:numFmt w:val="bullet"/>
      <w:lvlText w:val="o"/>
      <w:lvlJc w:val="left"/>
      <w:pPr>
        <w:ind w:left="9343" w:hanging="360"/>
      </w:pPr>
      <w:rPr>
        <w:rFonts w:ascii="Courier New" w:hAnsi="Courier New" w:cs="Courier New" w:hint="default"/>
      </w:rPr>
    </w:lvl>
    <w:lvl w:ilvl="8" w:tplc="04090005" w:tentative="1">
      <w:start w:val="1"/>
      <w:numFmt w:val="bullet"/>
      <w:lvlText w:val=""/>
      <w:lvlJc w:val="left"/>
      <w:pPr>
        <w:ind w:left="10063" w:hanging="360"/>
      </w:pPr>
      <w:rPr>
        <w:rFonts w:ascii="Wingdings" w:hAnsi="Wingdings" w:hint="default"/>
      </w:rPr>
    </w:lvl>
  </w:abstractNum>
  <w:abstractNum w:abstractNumId="13">
    <w:nsid w:val="65E95634"/>
    <w:multiLevelType w:val="hybridMultilevel"/>
    <w:tmpl w:val="FB00E28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B055F57"/>
    <w:multiLevelType w:val="hybridMultilevel"/>
    <w:tmpl w:val="D9D43AE2"/>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6E1326F4"/>
    <w:multiLevelType w:val="hybridMultilevel"/>
    <w:tmpl w:val="122227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8D43CCC"/>
    <w:multiLevelType w:val="hybridMultilevel"/>
    <w:tmpl w:val="6C12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DA7D96"/>
    <w:multiLevelType w:val="hybridMultilevel"/>
    <w:tmpl w:val="340CFF5C"/>
    <w:lvl w:ilvl="0" w:tplc="F9F25A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0"/>
  </w:num>
  <w:num w:numId="3">
    <w:abstractNumId w:val="8"/>
  </w:num>
  <w:num w:numId="4">
    <w:abstractNumId w:val="2"/>
  </w:num>
  <w:num w:numId="5">
    <w:abstractNumId w:val="5"/>
  </w:num>
  <w:num w:numId="6">
    <w:abstractNumId w:val="3"/>
  </w:num>
  <w:num w:numId="7">
    <w:abstractNumId w:val="9"/>
  </w:num>
  <w:num w:numId="8">
    <w:abstractNumId w:val="17"/>
  </w:num>
  <w:num w:numId="9">
    <w:abstractNumId w:val="1"/>
  </w:num>
  <w:num w:numId="10">
    <w:abstractNumId w:val="4"/>
  </w:num>
  <w:num w:numId="11">
    <w:abstractNumId w:val="4"/>
  </w:num>
  <w:num w:numId="12">
    <w:abstractNumId w:val="4"/>
  </w:num>
  <w:num w:numId="13">
    <w:abstractNumId w:val="9"/>
  </w:num>
  <w:num w:numId="14">
    <w:abstractNumId w:val="6"/>
  </w:num>
  <w:num w:numId="15">
    <w:abstractNumId w:val="14"/>
  </w:num>
  <w:num w:numId="16">
    <w:abstractNumId w:val="9"/>
  </w:num>
  <w:num w:numId="17">
    <w:abstractNumId w:val="4"/>
  </w:num>
  <w:num w:numId="18">
    <w:abstractNumId w:val="4"/>
  </w:num>
  <w:num w:numId="19">
    <w:abstractNumId w:val="4"/>
  </w:num>
  <w:num w:numId="20">
    <w:abstractNumId w:val="9"/>
    <w:lvlOverride w:ilvl="0">
      <w:startOverride w:val="1"/>
    </w:lvlOverride>
  </w:num>
  <w:num w:numId="21">
    <w:abstractNumId w:val="7"/>
  </w:num>
  <w:num w:numId="22">
    <w:abstractNumId w:val="15"/>
  </w:num>
  <w:num w:numId="23">
    <w:abstractNumId w:val="16"/>
  </w:num>
  <w:num w:numId="24">
    <w:abstractNumId w:val="4"/>
  </w:num>
  <w:num w:numId="25">
    <w:abstractNumId w:val="12"/>
  </w:num>
  <w:num w:numId="26">
    <w:abstractNumId w:val="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0"/>
  <w:defaultTabStop w:val="720"/>
  <w:drawingGridHorizontalSpacing w:val="10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0A4971"/>
    <w:rsid w:val="00003CBB"/>
    <w:rsid w:val="000161F0"/>
    <w:rsid w:val="00016A82"/>
    <w:rsid w:val="00033253"/>
    <w:rsid w:val="0004115A"/>
    <w:rsid w:val="00044B3E"/>
    <w:rsid w:val="0004571A"/>
    <w:rsid w:val="0005396C"/>
    <w:rsid w:val="00057A58"/>
    <w:rsid w:val="00070C64"/>
    <w:rsid w:val="00081492"/>
    <w:rsid w:val="000A2C89"/>
    <w:rsid w:val="000A4971"/>
    <w:rsid w:val="000C1BCA"/>
    <w:rsid w:val="000C1ED7"/>
    <w:rsid w:val="000C5733"/>
    <w:rsid w:val="000E3611"/>
    <w:rsid w:val="000E4278"/>
    <w:rsid w:val="000F2109"/>
    <w:rsid w:val="00121ACF"/>
    <w:rsid w:val="001245B6"/>
    <w:rsid w:val="0012480E"/>
    <w:rsid w:val="00125ACF"/>
    <w:rsid w:val="00131A18"/>
    <w:rsid w:val="00166566"/>
    <w:rsid w:val="00195323"/>
    <w:rsid w:val="001A52D2"/>
    <w:rsid w:val="001A5B57"/>
    <w:rsid w:val="001A61F1"/>
    <w:rsid w:val="001C1FC9"/>
    <w:rsid w:val="001E4CDD"/>
    <w:rsid w:val="001E587E"/>
    <w:rsid w:val="001F0D1B"/>
    <w:rsid w:val="001F224F"/>
    <w:rsid w:val="00204AC9"/>
    <w:rsid w:val="00221B83"/>
    <w:rsid w:val="00222D96"/>
    <w:rsid w:val="00224029"/>
    <w:rsid w:val="002306BC"/>
    <w:rsid w:val="00230D3D"/>
    <w:rsid w:val="00243217"/>
    <w:rsid w:val="0024504D"/>
    <w:rsid w:val="00247681"/>
    <w:rsid w:val="00282F7B"/>
    <w:rsid w:val="00290611"/>
    <w:rsid w:val="00297CDC"/>
    <w:rsid w:val="002A3AFE"/>
    <w:rsid w:val="002A6F78"/>
    <w:rsid w:val="002B05FB"/>
    <w:rsid w:val="002B1B63"/>
    <w:rsid w:val="002B5664"/>
    <w:rsid w:val="002B57BF"/>
    <w:rsid w:val="002C0F0D"/>
    <w:rsid w:val="002E09C9"/>
    <w:rsid w:val="002E503D"/>
    <w:rsid w:val="002F24A0"/>
    <w:rsid w:val="002F361E"/>
    <w:rsid w:val="002F5371"/>
    <w:rsid w:val="00306172"/>
    <w:rsid w:val="00324F16"/>
    <w:rsid w:val="003338BB"/>
    <w:rsid w:val="00333A07"/>
    <w:rsid w:val="0033484E"/>
    <w:rsid w:val="00336A93"/>
    <w:rsid w:val="0035111C"/>
    <w:rsid w:val="0035247C"/>
    <w:rsid w:val="003574D3"/>
    <w:rsid w:val="00357555"/>
    <w:rsid w:val="00362E8D"/>
    <w:rsid w:val="00363073"/>
    <w:rsid w:val="0036448C"/>
    <w:rsid w:val="003654EE"/>
    <w:rsid w:val="00365DB5"/>
    <w:rsid w:val="003774BE"/>
    <w:rsid w:val="00377C9E"/>
    <w:rsid w:val="00396FB8"/>
    <w:rsid w:val="003A653F"/>
    <w:rsid w:val="003A7031"/>
    <w:rsid w:val="003D5951"/>
    <w:rsid w:val="003F0DC8"/>
    <w:rsid w:val="003F190D"/>
    <w:rsid w:val="003F4A70"/>
    <w:rsid w:val="004038BA"/>
    <w:rsid w:val="004054D9"/>
    <w:rsid w:val="00420AE7"/>
    <w:rsid w:val="00421842"/>
    <w:rsid w:val="00432BE5"/>
    <w:rsid w:val="004428B8"/>
    <w:rsid w:val="00444BE4"/>
    <w:rsid w:val="0047434E"/>
    <w:rsid w:val="004773A2"/>
    <w:rsid w:val="004860BE"/>
    <w:rsid w:val="0049385D"/>
    <w:rsid w:val="00495E12"/>
    <w:rsid w:val="004A2A64"/>
    <w:rsid w:val="004A39E8"/>
    <w:rsid w:val="004C268B"/>
    <w:rsid w:val="004C44EF"/>
    <w:rsid w:val="004C549C"/>
    <w:rsid w:val="004D0639"/>
    <w:rsid w:val="004D1E75"/>
    <w:rsid w:val="004E46F9"/>
    <w:rsid w:val="004F0DC7"/>
    <w:rsid w:val="004F1616"/>
    <w:rsid w:val="005028BE"/>
    <w:rsid w:val="00533CB9"/>
    <w:rsid w:val="005426A9"/>
    <w:rsid w:val="00557450"/>
    <w:rsid w:val="0057194F"/>
    <w:rsid w:val="00577896"/>
    <w:rsid w:val="005801CD"/>
    <w:rsid w:val="0058259C"/>
    <w:rsid w:val="0058572F"/>
    <w:rsid w:val="00596776"/>
    <w:rsid w:val="005A3794"/>
    <w:rsid w:val="005A5CC0"/>
    <w:rsid w:val="005A7497"/>
    <w:rsid w:val="005C2D62"/>
    <w:rsid w:val="005C6464"/>
    <w:rsid w:val="005D00CB"/>
    <w:rsid w:val="005D6C66"/>
    <w:rsid w:val="005F4B1D"/>
    <w:rsid w:val="005F6222"/>
    <w:rsid w:val="0061718D"/>
    <w:rsid w:val="00620831"/>
    <w:rsid w:val="006255F2"/>
    <w:rsid w:val="00641272"/>
    <w:rsid w:val="00651D55"/>
    <w:rsid w:val="006531BF"/>
    <w:rsid w:val="00665756"/>
    <w:rsid w:val="00680289"/>
    <w:rsid w:val="006944D8"/>
    <w:rsid w:val="006945B2"/>
    <w:rsid w:val="006966F5"/>
    <w:rsid w:val="00696964"/>
    <w:rsid w:val="006A0621"/>
    <w:rsid w:val="006A42CA"/>
    <w:rsid w:val="006A438A"/>
    <w:rsid w:val="006B222B"/>
    <w:rsid w:val="006B2D1B"/>
    <w:rsid w:val="006C5C0B"/>
    <w:rsid w:val="006C5E18"/>
    <w:rsid w:val="006C659D"/>
    <w:rsid w:val="006D79F8"/>
    <w:rsid w:val="006E377F"/>
    <w:rsid w:val="006E39E8"/>
    <w:rsid w:val="0073253D"/>
    <w:rsid w:val="00734B34"/>
    <w:rsid w:val="00735224"/>
    <w:rsid w:val="00735F80"/>
    <w:rsid w:val="00740DAE"/>
    <w:rsid w:val="00742741"/>
    <w:rsid w:val="00746F2F"/>
    <w:rsid w:val="00746FA5"/>
    <w:rsid w:val="007745EE"/>
    <w:rsid w:val="00776116"/>
    <w:rsid w:val="00786DB4"/>
    <w:rsid w:val="007A017F"/>
    <w:rsid w:val="007A424A"/>
    <w:rsid w:val="007A7AB3"/>
    <w:rsid w:val="007B593F"/>
    <w:rsid w:val="007C2CD2"/>
    <w:rsid w:val="007C5005"/>
    <w:rsid w:val="007D3A00"/>
    <w:rsid w:val="00802F96"/>
    <w:rsid w:val="00803691"/>
    <w:rsid w:val="0080450B"/>
    <w:rsid w:val="00804757"/>
    <w:rsid w:val="00817381"/>
    <w:rsid w:val="0082063E"/>
    <w:rsid w:val="00836CB3"/>
    <w:rsid w:val="00843658"/>
    <w:rsid w:val="0085319E"/>
    <w:rsid w:val="00855159"/>
    <w:rsid w:val="0086744B"/>
    <w:rsid w:val="008703BE"/>
    <w:rsid w:val="008845DF"/>
    <w:rsid w:val="00884BF0"/>
    <w:rsid w:val="008877D5"/>
    <w:rsid w:val="00894468"/>
    <w:rsid w:val="008B1F9A"/>
    <w:rsid w:val="008F271A"/>
    <w:rsid w:val="008F7AAF"/>
    <w:rsid w:val="00905176"/>
    <w:rsid w:val="009117F3"/>
    <w:rsid w:val="00911CDF"/>
    <w:rsid w:val="0091298D"/>
    <w:rsid w:val="00920AE5"/>
    <w:rsid w:val="0092122D"/>
    <w:rsid w:val="00924038"/>
    <w:rsid w:val="009249BD"/>
    <w:rsid w:val="00926CAA"/>
    <w:rsid w:val="00930009"/>
    <w:rsid w:val="0094161A"/>
    <w:rsid w:val="009445A2"/>
    <w:rsid w:val="00956A9A"/>
    <w:rsid w:val="00963707"/>
    <w:rsid w:val="009814D6"/>
    <w:rsid w:val="00992081"/>
    <w:rsid w:val="00993F5A"/>
    <w:rsid w:val="009C559F"/>
    <w:rsid w:val="009F27B1"/>
    <w:rsid w:val="00A03CEC"/>
    <w:rsid w:val="00A1519F"/>
    <w:rsid w:val="00A165F8"/>
    <w:rsid w:val="00A50C7B"/>
    <w:rsid w:val="00A51E37"/>
    <w:rsid w:val="00A77E5B"/>
    <w:rsid w:val="00A82043"/>
    <w:rsid w:val="00A97C42"/>
    <w:rsid w:val="00AA2092"/>
    <w:rsid w:val="00AB5BCF"/>
    <w:rsid w:val="00AB63C6"/>
    <w:rsid w:val="00AC4B28"/>
    <w:rsid w:val="00AD1C59"/>
    <w:rsid w:val="00AD43B8"/>
    <w:rsid w:val="00AF7CE7"/>
    <w:rsid w:val="00B04C7C"/>
    <w:rsid w:val="00B05B54"/>
    <w:rsid w:val="00B11CD8"/>
    <w:rsid w:val="00B26E0D"/>
    <w:rsid w:val="00B4105E"/>
    <w:rsid w:val="00B41A37"/>
    <w:rsid w:val="00B4514B"/>
    <w:rsid w:val="00B47E39"/>
    <w:rsid w:val="00B51F37"/>
    <w:rsid w:val="00B54097"/>
    <w:rsid w:val="00B70E4F"/>
    <w:rsid w:val="00B753A6"/>
    <w:rsid w:val="00B8239A"/>
    <w:rsid w:val="00B9159F"/>
    <w:rsid w:val="00B91A0D"/>
    <w:rsid w:val="00B94B36"/>
    <w:rsid w:val="00BB31AC"/>
    <w:rsid w:val="00BB3629"/>
    <w:rsid w:val="00BB6067"/>
    <w:rsid w:val="00BC30A1"/>
    <w:rsid w:val="00BE186A"/>
    <w:rsid w:val="00BE3288"/>
    <w:rsid w:val="00BE5FB9"/>
    <w:rsid w:val="00BF07C7"/>
    <w:rsid w:val="00C044CF"/>
    <w:rsid w:val="00C04D7D"/>
    <w:rsid w:val="00C1569B"/>
    <w:rsid w:val="00C15F51"/>
    <w:rsid w:val="00C34716"/>
    <w:rsid w:val="00C34E9C"/>
    <w:rsid w:val="00C51AEF"/>
    <w:rsid w:val="00C5330A"/>
    <w:rsid w:val="00C5501F"/>
    <w:rsid w:val="00C57A88"/>
    <w:rsid w:val="00C70164"/>
    <w:rsid w:val="00C75735"/>
    <w:rsid w:val="00C81121"/>
    <w:rsid w:val="00C8369D"/>
    <w:rsid w:val="00C9677B"/>
    <w:rsid w:val="00CA1FA3"/>
    <w:rsid w:val="00CA4297"/>
    <w:rsid w:val="00CB358A"/>
    <w:rsid w:val="00CD0DEE"/>
    <w:rsid w:val="00CD28B7"/>
    <w:rsid w:val="00CD4A1E"/>
    <w:rsid w:val="00CE09DF"/>
    <w:rsid w:val="00CF4705"/>
    <w:rsid w:val="00CF4F37"/>
    <w:rsid w:val="00CF77E5"/>
    <w:rsid w:val="00D07049"/>
    <w:rsid w:val="00D14164"/>
    <w:rsid w:val="00D14E2C"/>
    <w:rsid w:val="00D33F40"/>
    <w:rsid w:val="00D43115"/>
    <w:rsid w:val="00D506F7"/>
    <w:rsid w:val="00D52D60"/>
    <w:rsid w:val="00D541C6"/>
    <w:rsid w:val="00D5487A"/>
    <w:rsid w:val="00D5711F"/>
    <w:rsid w:val="00D70C03"/>
    <w:rsid w:val="00D70DC1"/>
    <w:rsid w:val="00D761F1"/>
    <w:rsid w:val="00D94080"/>
    <w:rsid w:val="00D96098"/>
    <w:rsid w:val="00DA7F91"/>
    <w:rsid w:val="00DB31DE"/>
    <w:rsid w:val="00DD726E"/>
    <w:rsid w:val="00DE258E"/>
    <w:rsid w:val="00DE4016"/>
    <w:rsid w:val="00E2179A"/>
    <w:rsid w:val="00E27781"/>
    <w:rsid w:val="00E312FE"/>
    <w:rsid w:val="00E40CD3"/>
    <w:rsid w:val="00E54D37"/>
    <w:rsid w:val="00E57360"/>
    <w:rsid w:val="00E8030B"/>
    <w:rsid w:val="00E80BF4"/>
    <w:rsid w:val="00E835EC"/>
    <w:rsid w:val="00E95219"/>
    <w:rsid w:val="00EA2189"/>
    <w:rsid w:val="00EA5B6F"/>
    <w:rsid w:val="00EB5E4C"/>
    <w:rsid w:val="00EC1969"/>
    <w:rsid w:val="00ED1F14"/>
    <w:rsid w:val="00ED3F77"/>
    <w:rsid w:val="00ED7EA8"/>
    <w:rsid w:val="00EE4F8A"/>
    <w:rsid w:val="00EF2BB3"/>
    <w:rsid w:val="00EF6325"/>
    <w:rsid w:val="00EF747B"/>
    <w:rsid w:val="00EF7C1F"/>
    <w:rsid w:val="00F008D0"/>
    <w:rsid w:val="00F035F1"/>
    <w:rsid w:val="00F05B9A"/>
    <w:rsid w:val="00F061AD"/>
    <w:rsid w:val="00F16D6A"/>
    <w:rsid w:val="00F26F9D"/>
    <w:rsid w:val="00F32FF2"/>
    <w:rsid w:val="00F40C59"/>
    <w:rsid w:val="00F41850"/>
    <w:rsid w:val="00F55F32"/>
    <w:rsid w:val="00F6139A"/>
    <w:rsid w:val="00F774E0"/>
    <w:rsid w:val="00F95F9B"/>
    <w:rsid w:val="00F96F86"/>
    <w:rsid w:val="00FC6251"/>
    <w:rsid w:val="00FC7C59"/>
    <w:rsid w:val="00FD1738"/>
    <w:rsid w:val="00FD23C5"/>
    <w:rsid w:val="00FE730C"/>
    <w:rsid w:val="00FF4BDE"/>
    <w:rsid w:val="00FF5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217"/>
    <w:rPr>
      <w:rFonts w:ascii="Arial" w:hAnsi="Arial"/>
      <w:szCs w:val="24"/>
    </w:rPr>
  </w:style>
  <w:style w:type="paragraph" w:styleId="Heading1">
    <w:name w:val="heading 1"/>
    <w:basedOn w:val="Normal"/>
    <w:next w:val="Normal"/>
    <w:qFormat/>
    <w:rsid w:val="00C044CF"/>
    <w:pPr>
      <w:keepNext/>
      <w:outlineLvl w:val="0"/>
    </w:pPr>
    <w:rPr>
      <w:rFonts w:ascii="Times New Roman" w:hAnsi="Times New Roman"/>
      <w:sz w:val="28"/>
    </w:rPr>
  </w:style>
  <w:style w:type="paragraph" w:styleId="Heading2">
    <w:name w:val="heading 2"/>
    <w:basedOn w:val="Normal"/>
    <w:next w:val="Normal"/>
    <w:qFormat/>
    <w:rsid w:val="00C044CF"/>
    <w:pPr>
      <w:keepNext/>
      <w:jc w:val="center"/>
      <w:outlineLvl w:val="1"/>
    </w:pPr>
    <w:rPr>
      <w:rFonts w:ascii="Times New Roman" w:hAnsi="Times New Roman"/>
      <w:i/>
      <w:iCs/>
      <w:sz w:val="52"/>
    </w:rPr>
  </w:style>
  <w:style w:type="paragraph" w:styleId="Heading3">
    <w:name w:val="heading 3"/>
    <w:basedOn w:val="Normal"/>
    <w:next w:val="Normal"/>
    <w:qFormat/>
    <w:rsid w:val="00C044CF"/>
    <w:pPr>
      <w:keepNext/>
      <w:tabs>
        <w:tab w:val="left" w:pos="5020"/>
      </w:tabs>
      <w:jc w:val="center"/>
      <w:outlineLvl w:val="2"/>
    </w:pPr>
    <w:rPr>
      <w:rFonts w:ascii="Times New Roman" w:hAnsi="Times New Roman"/>
      <w:i/>
      <w:iCs/>
      <w:sz w:val="72"/>
    </w:rPr>
  </w:style>
  <w:style w:type="paragraph" w:styleId="Heading6">
    <w:name w:val="heading 6"/>
    <w:basedOn w:val="Normal"/>
    <w:next w:val="Normal"/>
    <w:qFormat/>
    <w:rsid w:val="00C044CF"/>
    <w:pPr>
      <w:keepNext/>
      <w:tabs>
        <w:tab w:val="left" w:pos="5020"/>
      </w:tabs>
      <w:outlineLvl w:val="5"/>
    </w:pPr>
    <w:rPr>
      <w:rFonts w:ascii="Times New Roman" w:hAnsi="Times New Roman"/>
      <w:b/>
      <w:bCs/>
      <w:i/>
      <w:iCs/>
      <w:sz w:val="28"/>
    </w:rPr>
  </w:style>
  <w:style w:type="paragraph" w:styleId="Heading7">
    <w:name w:val="heading 7"/>
    <w:basedOn w:val="Normal"/>
    <w:next w:val="Normal"/>
    <w:qFormat/>
    <w:rsid w:val="00C044CF"/>
    <w:pPr>
      <w:keepNext/>
      <w:tabs>
        <w:tab w:val="left" w:pos="5020"/>
      </w:tabs>
      <w:outlineLvl w:val="6"/>
    </w:pPr>
    <w:rPr>
      <w:rFonts w:ascii="Times New Roman" w:hAnsi="Times New Roman"/>
      <w:b/>
      <w:bCs/>
      <w:sz w:val="28"/>
    </w:rPr>
  </w:style>
  <w:style w:type="paragraph" w:styleId="Heading8">
    <w:name w:val="heading 8"/>
    <w:basedOn w:val="Normal"/>
    <w:next w:val="Normal"/>
    <w:qFormat/>
    <w:rsid w:val="00C044CF"/>
    <w:pPr>
      <w:keepNext/>
      <w:tabs>
        <w:tab w:val="left" w:pos="5020"/>
      </w:tabs>
      <w:outlineLvl w:val="7"/>
    </w:pPr>
    <w:rPr>
      <w:rFonts w:ascii="Times New Roman" w:hAnsi="Times New Roman"/>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4CF"/>
    <w:pPr>
      <w:tabs>
        <w:tab w:val="center" w:pos="4320"/>
        <w:tab w:val="right" w:pos="8640"/>
      </w:tabs>
    </w:pPr>
  </w:style>
  <w:style w:type="paragraph" w:styleId="Footer">
    <w:name w:val="footer"/>
    <w:basedOn w:val="Normal"/>
    <w:link w:val="FooterChar"/>
    <w:uiPriority w:val="99"/>
    <w:rsid w:val="00C044CF"/>
    <w:pPr>
      <w:tabs>
        <w:tab w:val="center" w:pos="4320"/>
        <w:tab w:val="right" w:pos="8640"/>
      </w:tabs>
    </w:pPr>
  </w:style>
  <w:style w:type="character" w:styleId="Hyperlink">
    <w:name w:val="Hyperlink"/>
    <w:basedOn w:val="DefaultParagraphFont"/>
    <w:rsid w:val="00C044CF"/>
    <w:rPr>
      <w:color w:val="0000FF"/>
      <w:u w:val="single"/>
    </w:rPr>
  </w:style>
  <w:style w:type="paragraph" w:styleId="BodyTextIndent">
    <w:name w:val="Body Text Indent"/>
    <w:basedOn w:val="Normal"/>
    <w:rsid w:val="00C044CF"/>
    <w:pPr>
      <w:ind w:left="720"/>
    </w:pPr>
    <w:rPr>
      <w:rFonts w:cs="Arial"/>
      <w:sz w:val="24"/>
    </w:rPr>
  </w:style>
  <w:style w:type="paragraph" w:styleId="Caption">
    <w:name w:val="caption"/>
    <w:basedOn w:val="Normal"/>
    <w:next w:val="Normal"/>
    <w:qFormat/>
    <w:rsid w:val="00C044CF"/>
    <w:pPr>
      <w:tabs>
        <w:tab w:val="left" w:pos="5020"/>
      </w:tabs>
    </w:pPr>
    <w:rPr>
      <w:rFonts w:ascii="Times New Roman" w:hAnsi="Times New Roman"/>
      <w:b/>
      <w:bCs/>
      <w:sz w:val="28"/>
    </w:rPr>
  </w:style>
  <w:style w:type="paragraph" w:customStyle="1" w:styleId="PolicyHeading1">
    <w:name w:val="Policy Heading 1"/>
    <w:basedOn w:val="Heading1"/>
    <w:next w:val="Heading1"/>
    <w:autoRedefine/>
    <w:rsid w:val="00EB5E4C"/>
    <w:pPr>
      <w:tabs>
        <w:tab w:val="left" w:pos="5020"/>
      </w:tabs>
      <w:ind w:left="-540"/>
    </w:pPr>
    <w:rPr>
      <w:rFonts w:ascii="Arial" w:hAnsi="Arial" w:cs="Arial"/>
      <w:b/>
      <w:bCs/>
      <w:i/>
      <w:iCs/>
    </w:rPr>
  </w:style>
  <w:style w:type="character" w:styleId="PageNumber">
    <w:name w:val="page number"/>
    <w:basedOn w:val="DefaultParagraphFont"/>
    <w:rsid w:val="00C044CF"/>
  </w:style>
  <w:style w:type="paragraph" w:styleId="CommentText">
    <w:name w:val="annotation text"/>
    <w:basedOn w:val="Normal"/>
    <w:link w:val="CommentTextChar"/>
    <w:semiHidden/>
    <w:rsid w:val="000C1ED7"/>
    <w:rPr>
      <w:rFonts w:cs="Arial"/>
      <w:szCs w:val="20"/>
    </w:rPr>
  </w:style>
  <w:style w:type="paragraph" w:styleId="FootnoteText">
    <w:name w:val="footnote text"/>
    <w:basedOn w:val="Normal"/>
    <w:semiHidden/>
    <w:rsid w:val="000C1ED7"/>
    <w:rPr>
      <w:rFonts w:cs="Arial"/>
      <w:sz w:val="24"/>
    </w:rPr>
  </w:style>
  <w:style w:type="paragraph" w:styleId="BodyText">
    <w:name w:val="Body Text"/>
    <w:basedOn w:val="Normal"/>
    <w:rsid w:val="005028BE"/>
    <w:pPr>
      <w:spacing w:after="120"/>
    </w:pPr>
  </w:style>
  <w:style w:type="paragraph" w:customStyle="1" w:styleId="PMOHeading1">
    <w:name w:val="PMO Heading 1"/>
    <w:basedOn w:val="Heading1"/>
    <w:next w:val="PMOBody"/>
    <w:rsid w:val="00B11CD8"/>
    <w:pPr>
      <w:numPr>
        <w:numId w:val="7"/>
      </w:numPr>
    </w:pPr>
    <w:rPr>
      <w:rFonts w:cs="Arial"/>
      <w:b/>
      <w:bCs/>
      <w:i/>
      <w:iCs/>
      <w:sz w:val="32"/>
    </w:rPr>
  </w:style>
  <w:style w:type="paragraph" w:customStyle="1" w:styleId="PMOBody">
    <w:name w:val="PMO Body"/>
    <w:basedOn w:val="Normal"/>
    <w:rsid w:val="00B11CD8"/>
    <w:pPr>
      <w:ind w:left="720"/>
    </w:pPr>
    <w:rPr>
      <w:rFonts w:ascii="Times New Roman" w:hAnsi="Times New Roman"/>
      <w:sz w:val="24"/>
    </w:rPr>
  </w:style>
  <w:style w:type="paragraph" w:styleId="Title">
    <w:name w:val="Title"/>
    <w:basedOn w:val="Normal"/>
    <w:qFormat/>
    <w:rsid w:val="005028BE"/>
    <w:pPr>
      <w:spacing w:before="240" w:after="60"/>
      <w:jc w:val="center"/>
      <w:outlineLvl w:val="0"/>
    </w:pPr>
    <w:rPr>
      <w:rFonts w:cs="Arial"/>
      <w:b/>
      <w:bCs/>
      <w:kern w:val="28"/>
      <w:sz w:val="32"/>
      <w:szCs w:val="32"/>
    </w:rPr>
  </w:style>
  <w:style w:type="paragraph" w:styleId="BalloonText">
    <w:name w:val="Balloon Text"/>
    <w:basedOn w:val="Normal"/>
    <w:semiHidden/>
    <w:rsid w:val="005028BE"/>
    <w:rPr>
      <w:rFonts w:ascii="Tahoma" w:hAnsi="Tahoma" w:cs="Tahoma"/>
      <w:sz w:val="16"/>
      <w:szCs w:val="16"/>
    </w:rPr>
  </w:style>
  <w:style w:type="paragraph" w:customStyle="1" w:styleId="PMODocumentDeliverable">
    <w:name w:val="PMO Document Deliverable"/>
    <w:basedOn w:val="Title"/>
    <w:rsid w:val="00D94080"/>
    <w:pPr>
      <w:spacing w:before="0" w:after="0"/>
      <w:jc w:val="right"/>
      <w:outlineLvl w:val="9"/>
    </w:pPr>
    <w:rPr>
      <w:rFonts w:ascii="Times New Roman" w:hAnsi="Times New Roman" w:cs="Times New Roman"/>
      <w:b w:val="0"/>
      <w:bCs w:val="0"/>
      <w:i/>
      <w:iCs/>
      <w:color w:val="808080"/>
      <w:kern w:val="0"/>
      <w:sz w:val="40"/>
      <w:szCs w:val="20"/>
    </w:rPr>
  </w:style>
  <w:style w:type="paragraph" w:customStyle="1" w:styleId="PMODocumentTitle">
    <w:name w:val="PMO Document Title"/>
    <w:basedOn w:val="Title"/>
    <w:rsid w:val="00D94080"/>
    <w:pPr>
      <w:spacing w:before="0" w:after="0"/>
      <w:jc w:val="right"/>
      <w:outlineLvl w:val="9"/>
    </w:pPr>
    <w:rPr>
      <w:rFonts w:ascii="Times New Roman" w:hAnsi="Times New Roman" w:cs="Times New Roman"/>
      <w:b w:val="0"/>
      <w:bCs w:val="0"/>
      <w:kern w:val="0"/>
      <w:sz w:val="40"/>
      <w:szCs w:val="20"/>
    </w:rPr>
  </w:style>
  <w:style w:type="paragraph" w:customStyle="1" w:styleId="PMOTableHeading">
    <w:name w:val="PMO Table Heading"/>
    <w:basedOn w:val="PMOBody"/>
    <w:next w:val="Normal"/>
    <w:rsid w:val="00D94080"/>
    <w:pPr>
      <w:ind w:left="0"/>
    </w:pPr>
    <w:rPr>
      <w:b/>
      <w:sz w:val="20"/>
      <w:szCs w:val="20"/>
    </w:rPr>
  </w:style>
  <w:style w:type="paragraph" w:customStyle="1" w:styleId="PMOHeading2">
    <w:name w:val="PMO Heading 2"/>
    <w:basedOn w:val="Heading2"/>
    <w:rsid w:val="00D94080"/>
    <w:pPr>
      <w:ind w:left="720"/>
      <w:jc w:val="left"/>
    </w:pPr>
    <w:rPr>
      <w:b/>
      <w:i w:val="0"/>
      <w:iCs w:val="0"/>
      <w:sz w:val="24"/>
      <w:szCs w:val="20"/>
    </w:rPr>
  </w:style>
  <w:style w:type="paragraph" w:customStyle="1" w:styleId="PMOHeadingInstruction">
    <w:name w:val="PMO Heading Instruction"/>
    <w:basedOn w:val="Normal"/>
    <w:rsid w:val="0024504D"/>
    <w:pPr>
      <w:ind w:left="720"/>
    </w:pPr>
    <w:rPr>
      <w:rFonts w:ascii="Times New Roman" w:hAnsi="Times New Roman"/>
      <w:color w:val="808080"/>
    </w:rPr>
  </w:style>
  <w:style w:type="paragraph" w:customStyle="1" w:styleId="PMOBullet1">
    <w:name w:val="PMO Bullet 1"/>
    <w:basedOn w:val="PMOBody"/>
    <w:next w:val="PMOBody"/>
    <w:rsid w:val="00D94080"/>
    <w:pPr>
      <w:numPr>
        <w:numId w:val="10"/>
      </w:numPr>
      <w:spacing w:before="120" w:after="120"/>
    </w:pPr>
  </w:style>
  <w:style w:type="table" w:styleId="TableGrid">
    <w:name w:val="Table Grid"/>
    <w:basedOn w:val="TableNormal"/>
    <w:rsid w:val="00E27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OHeader2">
    <w:name w:val="PMO Header 2"/>
    <w:basedOn w:val="Normal"/>
    <w:next w:val="PMOBody"/>
    <w:link w:val="PMOHeader2Char"/>
    <w:rsid w:val="00DD726E"/>
    <w:pPr>
      <w:spacing w:before="120" w:after="120"/>
      <w:ind w:left="720"/>
    </w:pPr>
    <w:rPr>
      <w:rFonts w:ascii="Times New Roman" w:hAnsi="Times New Roman"/>
      <w:b/>
      <w:sz w:val="28"/>
    </w:rPr>
  </w:style>
  <w:style w:type="character" w:customStyle="1" w:styleId="PMOHeader2Char">
    <w:name w:val="PMO Header 2 Char"/>
    <w:basedOn w:val="DefaultParagraphFont"/>
    <w:link w:val="PMOHeader2"/>
    <w:rsid w:val="00DD726E"/>
    <w:rPr>
      <w:b/>
      <w:sz w:val="28"/>
      <w:szCs w:val="24"/>
    </w:rPr>
  </w:style>
  <w:style w:type="character" w:styleId="CommentReference">
    <w:name w:val="annotation reference"/>
    <w:basedOn w:val="DefaultParagraphFont"/>
    <w:rsid w:val="00557450"/>
    <w:rPr>
      <w:sz w:val="16"/>
      <w:szCs w:val="16"/>
    </w:rPr>
  </w:style>
  <w:style w:type="paragraph" w:styleId="CommentSubject">
    <w:name w:val="annotation subject"/>
    <w:basedOn w:val="CommentText"/>
    <w:next w:val="CommentText"/>
    <w:link w:val="CommentSubjectChar"/>
    <w:rsid w:val="00557450"/>
    <w:rPr>
      <w:rFonts w:cs="Times New Roman"/>
      <w:b/>
      <w:bCs/>
    </w:rPr>
  </w:style>
  <w:style w:type="character" w:customStyle="1" w:styleId="CommentTextChar">
    <w:name w:val="Comment Text Char"/>
    <w:basedOn w:val="DefaultParagraphFont"/>
    <w:link w:val="CommentText"/>
    <w:semiHidden/>
    <w:rsid w:val="00557450"/>
    <w:rPr>
      <w:rFonts w:ascii="Arial" w:hAnsi="Arial" w:cs="Arial"/>
    </w:rPr>
  </w:style>
  <w:style w:type="character" w:customStyle="1" w:styleId="CommentSubjectChar">
    <w:name w:val="Comment Subject Char"/>
    <w:basedOn w:val="CommentTextChar"/>
    <w:link w:val="CommentSubject"/>
    <w:rsid w:val="00557450"/>
  </w:style>
  <w:style w:type="paragraph" w:styleId="Revision">
    <w:name w:val="Revision"/>
    <w:hidden/>
    <w:uiPriority w:val="99"/>
    <w:semiHidden/>
    <w:rsid w:val="00247681"/>
    <w:rPr>
      <w:rFonts w:ascii="Arial" w:hAnsi="Arial"/>
      <w:szCs w:val="24"/>
    </w:rPr>
  </w:style>
  <w:style w:type="character" w:customStyle="1" w:styleId="HeaderChar">
    <w:name w:val="Header Char"/>
    <w:basedOn w:val="DefaultParagraphFont"/>
    <w:link w:val="Header"/>
    <w:uiPriority w:val="99"/>
    <w:rsid w:val="005801CD"/>
    <w:rPr>
      <w:rFonts w:ascii="Arial" w:hAnsi="Arial"/>
      <w:szCs w:val="24"/>
    </w:rPr>
  </w:style>
  <w:style w:type="character" w:customStyle="1" w:styleId="FooterChar">
    <w:name w:val="Footer Char"/>
    <w:basedOn w:val="DefaultParagraphFont"/>
    <w:link w:val="Footer"/>
    <w:uiPriority w:val="99"/>
    <w:rsid w:val="002E09C9"/>
    <w:rPr>
      <w:rFonts w:ascii="Arial" w:hAnsi="Arial"/>
      <w:szCs w:val="24"/>
    </w:rPr>
  </w:style>
  <w:style w:type="paragraph" w:customStyle="1" w:styleId="Default">
    <w:name w:val="Default"/>
    <w:rsid w:val="0064127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5159"/>
    <w:pPr>
      <w:ind w:left="720"/>
      <w:contextualSpacing/>
    </w:pPr>
  </w:style>
</w:styles>
</file>

<file path=word/webSettings.xml><?xml version="1.0" encoding="utf-8"?>
<w:webSettings xmlns:r="http://schemas.openxmlformats.org/officeDocument/2006/relationships" xmlns:w="http://schemas.openxmlformats.org/wordprocessingml/2006/main">
  <w:divs>
    <w:div w:id="361319080">
      <w:bodyDiv w:val="1"/>
      <w:marLeft w:val="0"/>
      <w:marRight w:val="0"/>
      <w:marTop w:val="0"/>
      <w:marBottom w:val="0"/>
      <w:divBdr>
        <w:top w:val="none" w:sz="0" w:space="0" w:color="auto"/>
        <w:left w:val="none" w:sz="0" w:space="0" w:color="auto"/>
        <w:bottom w:val="none" w:sz="0" w:space="0" w:color="auto"/>
        <w:right w:val="none" w:sz="0" w:space="0" w:color="auto"/>
      </w:divBdr>
      <w:divsChild>
        <w:div w:id="191310311">
          <w:marLeft w:val="0"/>
          <w:marRight w:val="0"/>
          <w:marTop w:val="187"/>
          <w:marBottom w:val="0"/>
          <w:divBdr>
            <w:top w:val="none" w:sz="0" w:space="0" w:color="auto"/>
            <w:left w:val="none" w:sz="0" w:space="0" w:color="auto"/>
            <w:bottom w:val="none" w:sz="0" w:space="0" w:color="auto"/>
            <w:right w:val="none" w:sz="0" w:space="0" w:color="auto"/>
          </w:divBdr>
          <w:divsChild>
            <w:div w:id="930620716">
              <w:marLeft w:val="0"/>
              <w:marRight w:val="0"/>
              <w:marTop w:val="0"/>
              <w:marBottom w:val="0"/>
              <w:divBdr>
                <w:top w:val="none" w:sz="0" w:space="0" w:color="auto"/>
                <w:left w:val="none" w:sz="0" w:space="0" w:color="auto"/>
                <w:bottom w:val="none" w:sz="0" w:space="0" w:color="auto"/>
                <w:right w:val="none" w:sz="0" w:space="0" w:color="auto"/>
              </w:divBdr>
              <w:divsChild>
                <w:div w:id="1988895838">
                  <w:marLeft w:val="0"/>
                  <w:marRight w:val="0"/>
                  <w:marTop w:val="0"/>
                  <w:marBottom w:val="0"/>
                  <w:divBdr>
                    <w:top w:val="none" w:sz="0" w:space="0" w:color="auto"/>
                    <w:left w:val="none" w:sz="0" w:space="0" w:color="auto"/>
                    <w:bottom w:val="none" w:sz="0" w:space="0" w:color="auto"/>
                    <w:right w:val="none" w:sz="0" w:space="0" w:color="auto"/>
                  </w:divBdr>
                  <w:divsChild>
                    <w:div w:id="1119836413">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4432">
      <w:bodyDiv w:val="1"/>
      <w:marLeft w:val="0"/>
      <w:marRight w:val="0"/>
      <w:marTop w:val="0"/>
      <w:marBottom w:val="0"/>
      <w:divBdr>
        <w:top w:val="none" w:sz="0" w:space="0" w:color="auto"/>
        <w:left w:val="none" w:sz="0" w:space="0" w:color="auto"/>
        <w:bottom w:val="none" w:sz="0" w:space="0" w:color="auto"/>
        <w:right w:val="none" w:sz="0" w:space="0" w:color="auto"/>
      </w:divBdr>
      <w:divsChild>
        <w:div w:id="222984286">
          <w:marLeft w:val="0"/>
          <w:marRight w:val="0"/>
          <w:marTop w:val="187"/>
          <w:marBottom w:val="0"/>
          <w:divBdr>
            <w:top w:val="none" w:sz="0" w:space="0" w:color="auto"/>
            <w:left w:val="none" w:sz="0" w:space="0" w:color="auto"/>
            <w:bottom w:val="none" w:sz="0" w:space="0" w:color="auto"/>
            <w:right w:val="none" w:sz="0" w:space="0" w:color="auto"/>
          </w:divBdr>
          <w:divsChild>
            <w:div w:id="1710450729">
              <w:marLeft w:val="0"/>
              <w:marRight w:val="0"/>
              <w:marTop w:val="0"/>
              <w:marBottom w:val="0"/>
              <w:divBdr>
                <w:top w:val="none" w:sz="0" w:space="0" w:color="auto"/>
                <w:left w:val="none" w:sz="0" w:space="0" w:color="auto"/>
                <w:bottom w:val="none" w:sz="0" w:space="0" w:color="auto"/>
                <w:right w:val="none" w:sz="0" w:space="0" w:color="auto"/>
              </w:divBdr>
              <w:divsChild>
                <w:div w:id="854031288">
                  <w:marLeft w:val="0"/>
                  <w:marRight w:val="0"/>
                  <w:marTop w:val="0"/>
                  <w:marBottom w:val="0"/>
                  <w:divBdr>
                    <w:top w:val="none" w:sz="0" w:space="0" w:color="auto"/>
                    <w:left w:val="none" w:sz="0" w:space="0" w:color="auto"/>
                    <w:bottom w:val="none" w:sz="0" w:space="0" w:color="auto"/>
                    <w:right w:val="none" w:sz="0" w:space="0" w:color="auto"/>
                  </w:divBdr>
                  <w:divsChild>
                    <w:div w:id="558899100">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2C85-0295-4636-B8D8-EA0FE3DB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2140</Words>
  <Characters>11503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&lt;Name of Project&gt;</vt:lpstr>
    </vt:vector>
  </TitlesOfParts>
  <Company>State of Washington, DSHS</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of Project&gt;</dc:title>
  <dc:subject/>
  <dc:creator>skm</dc:creator>
  <cp:keywords/>
  <dc:description/>
  <cp:lastModifiedBy>josa</cp:lastModifiedBy>
  <cp:revision>20</cp:revision>
  <cp:lastPrinted>2009-07-31T21:22:00Z</cp:lastPrinted>
  <dcterms:created xsi:type="dcterms:W3CDTF">2012-04-25T23:10:00Z</dcterms:created>
  <dcterms:modified xsi:type="dcterms:W3CDTF">2012-05-08T15:05:00Z</dcterms:modified>
</cp:coreProperties>
</file>